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DFDF7" w14:textId="23A9DA55" w:rsidR="00371473" w:rsidRPr="007E0DBF" w:rsidRDefault="007E0DBF" w:rsidP="001B08C9">
      <w:pPr>
        <w:spacing w:before="240"/>
        <w:jc w:val="center"/>
        <w:rPr>
          <w:rFonts w:ascii="Verdana" w:hAnsi="Verdana"/>
          <w:b/>
          <w:sz w:val="18"/>
          <w:szCs w:val="18"/>
        </w:rPr>
      </w:pPr>
      <w:r w:rsidRPr="007E0DBF">
        <w:rPr>
          <w:rFonts w:ascii="Verdana" w:hAnsi="Verdana"/>
          <w:b/>
          <w:sz w:val="18"/>
          <w:szCs w:val="18"/>
        </w:rPr>
        <w:t xml:space="preserve">IAG / </w:t>
      </w:r>
      <w:proofErr w:type="spellStart"/>
      <w:r w:rsidRPr="007E0DBF">
        <w:rPr>
          <w:rFonts w:ascii="Verdana" w:hAnsi="Verdana"/>
          <w:b/>
          <w:sz w:val="18"/>
          <w:szCs w:val="18"/>
        </w:rPr>
        <w:t>bmi</w:t>
      </w:r>
      <w:proofErr w:type="spellEnd"/>
      <w:r w:rsidRPr="007E0DBF">
        <w:rPr>
          <w:rFonts w:ascii="Verdana" w:hAnsi="Verdana"/>
          <w:b/>
          <w:sz w:val="18"/>
          <w:szCs w:val="18"/>
        </w:rPr>
        <w:t xml:space="preserve"> – case M.6447 </w:t>
      </w:r>
      <w:r>
        <w:rPr>
          <w:rFonts w:ascii="Verdana" w:hAnsi="Verdana"/>
          <w:b/>
          <w:sz w:val="18"/>
          <w:szCs w:val="18"/>
        </w:rPr>
        <w:br/>
      </w:r>
      <w:r w:rsidR="00C4533B">
        <w:rPr>
          <w:rFonts w:ascii="Verdana" w:hAnsi="Verdana"/>
          <w:b/>
          <w:sz w:val="18"/>
          <w:szCs w:val="18"/>
        </w:rPr>
        <w:t xml:space="preserve">Timetable of actions to be taken by the </w:t>
      </w:r>
      <w:r w:rsidR="00EF0565">
        <w:rPr>
          <w:rFonts w:ascii="Verdana" w:hAnsi="Verdana"/>
          <w:b/>
          <w:sz w:val="18"/>
          <w:szCs w:val="18"/>
        </w:rPr>
        <w:t xml:space="preserve">Monitoring </w:t>
      </w:r>
      <w:r w:rsidR="00C4533B">
        <w:rPr>
          <w:rFonts w:ascii="Verdana" w:hAnsi="Verdana"/>
          <w:b/>
          <w:sz w:val="18"/>
          <w:szCs w:val="18"/>
        </w:rPr>
        <w:t>Trustee</w:t>
      </w:r>
      <w:r w:rsidR="00EF0565">
        <w:rPr>
          <w:rFonts w:ascii="Verdana" w:hAnsi="Verdana"/>
          <w:b/>
          <w:sz w:val="18"/>
          <w:szCs w:val="18"/>
        </w:rPr>
        <w:t xml:space="preserve">, European Commission </w:t>
      </w:r>
      <w:r w:rsidR="00C4533B">
        <w:rPr>
          <w:rFonts w:ascii="Verdana" w:hAnsi="Verdana"/>
          <w:b/>
          <w:sz w:val="18"/>
          <w:szCs w:val="18"/>
        </w:rPr>
        <w:t xml:space="preserve">and other third parties in relation to the </w:t>
      </w:r>
      <w:r w:rsidR="00822627">
        <w:rPr>
          <w:rFonts w:ascii="Verdana" w:hAnsi="Verdana"/>
          <w:b/>
          <w:sz w:val="18"/>
          <w:szCs w:val="18"/>
        </w:rPr>
        <w:t xml:space="preserve">IATA </w:t>
      </w:r>
      <w:r w:rsidR="00D364F6" w:rsidRPr="007E0DBF">
        <w:rPr>
          <w:rFonts w:ascii="Verdana" w:hAnsi="Verdana"/>
          <w:b/>
          <w:sz w:val="18"/>
          <w:szCs w:val="18"/>
        </w:rPr>
        <w:t xml:space="preserve">Winter </w:t>
      </w:r>
      <w:r w:rsidR="00714528">
        <w:rPr>
          <w:rFonts w:ascii="Verdana" w:hAnsi="Verdana"/>
          <w:b/>
          <w:sz w:val="18"/>
          <w:szCs w:val="18"/>
        </w:rPr>
        <w:t>2023/2024</w:t>
      </w:r>
      <w:r w:rsidR="00D364F6" w:rsidRPr="007E0DBF">
        <w:rPr>
          <w:rFonts w:ascii="Verdana" w:hAnsi="Verdana"/>
          <w:b/>
          <w:sz w:val="18"/>
          <w:szCs w:val="18"/>
        </w:rPr>
        <w:t xml:space="preserve"> </w:t>
      </w:r>
      <w:r w:rsidR="000B17DB" w:rsidRPr="007E0DBF">
        <w:rPr>
          <w:rFonts w:ascii="Verdana" w:hAnsi="Verdana"/>
          <w:b/>
          <w:sz w:val="18"/>
          <w:szCs w:val="18"/>
        </w:rPr>
        <w:t xml:space="preserve">slot release </w:t>
      </w:r>
      <w:r w:rsidR="00C4533B">
        <w:rPr>
          <w:rFonts w:ascii="Verdana" w:hAnsi="Verdana"/>
          <w:b/>
          <w:sz w:val="18"/>
          <w:szCs w:val="18"/>
        </w:rPr>
        <w:t xml:space="preserve">process </w:t>
      </w:r>
    </w:p>
    <w:p w14:paraId="57FDFDF8" w14:textId="77777777" w:rsidR="000B17DB" w:rsidRPr="00FA311B" w:rsidRDefault="000B17DB" w:rsidP="000B17DB">
      <w:pPr>
        <w:jc w:val="center"/>
        <w:rPr>
          <w:b/>
          <w:sz w:val="24"/>
          <w:szCs w:val="24"/>
          <w:highlight w:val="yellow"/>
          <w:u w:val="single"/>
        </w:rPr>
      </w:pPr>
    </w:p>
    <w:tbl>
      <w:tblPr>
        <w:tblW w:w="14590" w:type="dxa"/>
        <w:tblLayout w:type="fixed"/>
        <w:tblCellMar>
          <w:left w:w="0" w:type="dxa"/>
          <w:right w:w="0" w:type="dxa"/>
        </w:tblCellMar>
        <w:tblLook w:val="04A0" w:firstRow="1" w:lastRow="0" w:firstColumn="1" w:lastColumn="0" w:noHBand="0" w:noVBand="1"/>
      </w:tblPr>
      <w:tblGrid>
        <w:gridCol w:w="983"/>
        <w:gridCol w:w="1417"/>
        <w:gridCol w:w="1559"/>
        <w:gridCol w:w="9214"/>
        <w:gridCol w:w="1417"/>
      </w:tblGrid>
      <w:tr w:rsidR="007C5F23" w:rsidRPr="000C0704" w14:paraId="57FDFDFE" w14:textId="77777777" w:rsidTr="008305E8">
        <w:trPr>
          <w:trHeight w:val="340"/>
          <w:tblHeader/>
        </w:trPr>
        <w:tc>
          <w:tcPr>
            <w:tcW w:w="983"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5" w:type="dxa"/>
              <w:left w:w="38" w:type="dxa"/>
              <w:bottom w:w="0" w:type="dxa"/>
              <w:right w:w="38" w:type="dxa"/>
            </w:tcMar>
            <w:hideMark/>
          </w:tcPr>
          <w:p w14:paraId="57FDFDF9" w14:textId="4D3FE1B2" w:rsidR="007C5F23" w:rsidRPr="000C0704" w:rsidRDefault="007C5F23" w:rsidP="007E0DBF">
            <w:pPr>
              <w:jc w:val="center"/>
              <w:rPr>
                <w:rFonts w:ascii="Verdana" w:hAnsi="Verdana"/>
                <w:sz w:val="18"/>
                <w:szCs w:val="18"/>
              </w:rPr>
            </w:pPr>
            <w:r w:rsidRPr="000C0704">
              <w:rPr>
                <w:rFonts w:ascii="Verdana" w:hAnsi="Verdana"/>
                <w:b/>
                <w:bCs/>
                <w:sz w:val="18"/>
                <w:szCs w:val="18"/>
              </w:rPr>
              <w:t>Offset</w:t>
            </w:r>
          </w:p>
        </w:tc>
        <w:tc>
          <w:tcPr>
            <w:tcW w:w="1417"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14:paraId="76B79B0F" w14:textId="4629BC34" w:rsidR="007C5F23" w:rsidRPr="000C0704" w:rsidRDefault="007C5F23" w:rsidP="0035294B">
            <w:pPr>
              <w:jc w:val="center"/>
              <w:rPr>
                <w:rFonts w:ascii="Verdana" w:hAnsi="Verdana"/>
                <w:b/>
                <w:bCs/>
                <w:sz w:val="18"/>
                <w:szCs w:val="18"/>
              </w:rPr>
            </w:pPr>
            <w:r w:rsidRPr="000C0704">
              <w:rPr>
                <w:rFonts w:ascii="Verdana" w:hAnsi="Verdana"/>
                <w:b/>
                <w:bCs/>
                <w:sz w:val="18"/>
                <w:szCs w:val="18"/>
              </w:rPr>
              <w:t>Date by</w:t>
            </w:r>
            <w:r w:rsidR="00EF3904">
              <w:rPr>
                <w:rFonts w:ascii="Verdana" w:hAnsi="Verdana"/>
                <w:b/>
                <w:bCs/>
                <w:sz w:val="18"/>
                <w:szCs w:val="18"/>
              </w:rPr>
              <w:t xml:space="preserve"> </w:t>
            </w:r>
            <w:r w:rsidR="00EF3904">
              <w:rPr>
                <w:rFonts w:ascii="Verdana" w:hAnsi="Verdana"/>
                <w:b/>
                <w:bCs/>
                <w:sz w:val="18"/>
                <w:szCs w:val="18"/>
              </w:rPr>
              <w:br/>
              <w:t>(202</w:t>
            </w:r>
            <w:r w:rsidR="00A47989">
              <w:rPr>
                <w:rFonts w:ascii="Verdana" w:hAnsi="Verdana"/>
                <w:b/>
                <w:bCs/>
                <w:sz w:val="18"/>
                <w:szCs w:val="18"/>
              </w:rPr>
              <w:t>3</w:t>
            </w:r>
            <w:r w:rsidR="00EF3904">
              <w:rPr>
                <w:rFonts w:ascii="Verdana" w:hAnsi="Verdana"/>
                <w:b/>
                <w:bCs/>
                <w:sz w:val="18"/>
                <w:szCs w:val="18"/>
              </w:rPr>
              <w:t>)</w:t>
            </w:r>
          </w:p>
        </w:tc>
        <w:tc>
          <w:tcPr>
            <w:tcW w:w="1559"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5" w:type="dxa"/>
              <w:left w:w="38" w:type="dxa"/>
              <w:bottom w:w="0" w:type="dxa"/>
              <w:right w:w="38" w:type="dxa"/>
            </w:tcMar>
            <w:hideMark/>
          </w:tcPr>
          <w:p w14:paraId="57FDFDFA" w14:textId="02684F51" w:rsidR="007C5F23" w:rsidRPr="000C0704" w:rsidRDefault="007C5F23" w:rsidP="007E0DBF">
            <w:pPr>
              <w:jc w:val="center"/>
              <w:rPr>
                <w:rFonts w:ascii="Verdana" w:hAnsi="Verdana"/>
                <w:sz w:val="18"/>
                <w:szCs w:val="18"/>
              </w:rPr>
            </w:pPr>
            <w:r w:rsidRPr="000C0704">
              <w:rPr>
                <w:rFonts w:ascii="Verdana" w:hAnsi="Verdana"/>
                <w:b/>
                <w:bCs/>
                <w:sz w:val="18"/>
                <w:szCs w:val="18"/>
              </w:rPr>
              <w:t>Commitments</w:t>
            </w:r>
          </w:p>
        </w:tc>
        <w:tc>
          <w:tcPr>
            <w:tcW w:w="9214"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5" w:type="dxa"/>
              <w:left w:w="38" w:type="dxa"/>
              <w:bottom w:w="0" w:type="dxa"/>
              <w:right w:w="38" w:type="dxa"/>
            </w:tcMar>
            <w:hideMark/>
          </w:tcPr>
          <w:p w14:paraId="57FDFDFB" w14:textId="2C4E2721" w:rsidR="007C5F23" w:rsidRPr="000C0704" w:rsidRDefault="0035294B" w:rsidP="0035294B">
            <w:pPr>
              <w:jc w:val="center"/>
              <w:rPr>
                <w:rFonts w:ascii="Verdana" w:hAnsi="Verdana"/>
                <w:sz w:val="18"/>
                <w:szCs w:val="18"/>
              </w:rPr>
            </w:pPr>
            <w:r>
              <w:rPr>
                <w:rFonts w:ascii="Verdana" w:hAnsi="Verdana"/>
                <w:b/>
                <w:bCs/>
                <w:sz w:val="18"/>
                <w:szCs w:val="18"/>
              </w:rPr>
              <w:t xml:space="preserve">Monitoring Trustee (MT), European Commission </w:t>
            </w:r>
            <w:r w:rsidR="007E0DBF">
              <w:rPr>
                <w:rFonts w:ascii="Verdana" w:hAnsi="Verdana"/>
                <w:b/>
                <w:bCs/>
                <w:sz w:val="18"/>
                <w:szCs w:val="18"/>
              </w:rPr>
              <w:t xml:space="preserve">(Commission) </w:t>
            </w:r>
            <w:r>
              <w:rPr>
                <w:rFonts w:ascii="Verdana" w:hAnsi="Verdana"/>
                <w:b/>
                <w:bCs/>
                <w:sz w:val="18"/>
                <w:szCs w:val="18"/>
              </w:rPr>
              <w:t xml:space="preserve">and </w:t>
            </w:r>
            <w:r w:rsidR="007E0DBF">
              <w:rPr>
                <w:rFonts w:ascii="Verdana" w:hAnsi="Verdana"/>
                <w:b/>
                <w:bCs/>
                <w:sz w:val="18"/>
                <w:szCs w:val="18"/>
              </w:rPr>
              <w:t xml:space="preserve">Applicant Actions </w:t>
            </w:r>
          </w:p>
        </w:tc>
        <w:tc>
          <w:tcPr>
            <w:tcW w:w="1417"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5" w:type="dxa"/>
              <w:left w:w="38" w:type="dxa"/>
              <w:bottom w:w="0" w:type="dxa"/>
              <w:right w:w="38" w:type="dxa"/>
            </w:tcMar>
            <w:hideMark/>
          </w:tcPr>
          <w:p w14:paraId="57FDFDFC" w14:textId="4A6CB6CA" w:rsidR="007C5F23" w:rsidRPr="000C0704" w:rsidRDefault="007C5F23" w:rsidP="0035294B">
            <w:pPr>
              <w:jc w:val="center"/>
              <w:rPr>
                <w:rFonts w:ascii="Verdana" w:hAnsi="Verdana"/>
                <w:sz w:val="18"/>
                <w:szCs w:val="18"/>
              </w:rPr>
            </w:pPr>
            <w:r w:rsidRPr="000C0704">
              <w:rPr>
                <w:rFonts w:ascii="Verdana" w:hAnsi="Verdana"/>
                <w:b/>
                <w:bCs/>
                <w:sz w:val="18"/>
                <w:szCs w:val="18"/>
              </w:rPr>
              <w:t>Week (Thursdays)</w:t>
            </w:r>
          </w:p>
        </w:tc>
      </w:tr>
      <w:tr w:rsidR="00667D26" w:rsidRPr="000C0704" w14:paraId="57FDFE04" w14:textId="77777777" w:rsidTr="008305E8">
        <w:trPr>
          <w:trHeight w:val="340"/>
        </w:trPr>
        <w:tc>
          <w:tcPr>
            <w:tcW w:w="9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8" w:type="dxa"/>
              <w:bottom w:w="0" w:type="dxa"/>
              <w:right w:w="38" w:type="dxa"/>
            </w:tcMar>
            <w:hideMark/>
          </w:tcPr>
          <w:p w14:paraId="57FDFDFF" w14:textId="4A26021D" w:rsidR="00667D26" w:rsidRPr="000C0704" w:rsidRDefault="00667D26" w:rsidP="008305E8">
            <w:pPr>
              <w:jc w:val="center"/>
              <w:rPr>
                <w:rFonts w:ascii="Verdana" w:hAnsi="Verdana"/>
                <w:b/>
                <w:bCs/>
                <w:sz w:val="18"/>
                <w:szCs w:val="18"/>
              </w:rPr>
            </w:pPr>
            <w:r w:rsidRPr="000C0704">
              <w:rPr>
                <w:rFonts w:ascii="Verdana" w:hAnsi="Verdana"/>
                <w:b/>
                <w:bCs/>
                <w:sz w:val="18"/>
                <w:szCs w:val="18"/>
              </w:rPr>
              <w:t>By x-</w:t>
            </w:r>
            <w:r>
              <w:rPr>
                <w:rFonts w:ascii="Verdana" w:hAnsi="Verdana"/>
                <w:b/>
                <w:bCs/>
                <w:sz w:val="18"/>
                <w:szCs w:val="18"/>
              </w:rPr>
              <w:t>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95C5917" w14:textId="2F2BE99A" w:rsidR="00667D26" w:rsidRPr="006F31E2" w:rsidRDefault="00EB7717" w:rsidP="00EB2B86">
            <w:pPr>
              <w:jc w:val="center"/>
              <w:rPr>
                <w:rFonts w:ascii="Verdana" w:hAnsi="Verdana"/>
                <w:sz w:val="18"/>
              </w:rPr>
            </w:pPr>
            <w:r>
              <w:rPr>
                <w:rFonts w:ascii="Verdana" w:hAnsi="Verdana"/>
                <w:sz w:val="18"/>
                <w:szCs w:val="18"/>
              </w:rPr>
              <w:t>9</w:t>
            </w:r>
            <w:r w:rsidR="00667D26">
              <w:rPr>
                <w:rFonts w:ascii="Verdana" w:hAnsi="Verdana"/>
                <w:sz w:val="18"/>
                <w:szCs w:val="18"/>
              </w:rPr>
              <w:t xml:space="preserve"> March</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8" w:type="dxa"/>
              <w:bottom w:w="0" w:type="dxa"/>
              <w:right w:w="38" w:type="dxa"/>
            </w:tcMar>
            <w:hideMark/>
          </w:tcPr>
          <w:p w14:paraId="57FDFE00" w14:textId="7F9A9BEA" w:rsidR="00667D26" w:rsidRPr="006F31E2" w:rsidRDefault="00667D26" w:rsidP="00810C51">
            <w:pPr>
              <w:jc w:val="center"/>
              <w:rPr>
                <w:rFonts w:ascii="Verdana" w:hAnsi="Verdana"/>
                <w:sz w:val="18"/>
              </w:rPr>
            </w:pPr>
          </w:p>
        </w:tc>
        <w:tc>
          <w:tcPr>
            <w:tcW w:w="92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8" w:type="dxa"/>
              <w:bottom w:w="0" w:type="dxa"/>
              <w:right w:w="38" w:type="dxa"/>
            </w:tcMar>
            <w:hideMark/>
          </w:tcPr>
          <w:p w14:paraId="57FDFE01" w14:textId="42AD9555" w:rsidR="00667D26" w:rsidRPr="000C0704" w:rsidRDefault="00667D26" w:rsidP="00667D26">
            <w:pPr>
              <w:rPr>
                <w:rFonts w:ascii="Verdana" w:hAnsi="Verdana"/>
                <w:sz w:val="18"/>
                <w:szCs w:val="18"/>
              </w:rPr>
            </w:pPr>
            <w:r>
              <w:rPr>
                <w:rFonts w:ascii="Verdana" w:hAnsi="Verdana"/>
                <w:sz w:val="18"/>
                <w:szCs w:val="18"/>
              </w:rPr>
              <w:t>MT</w:t>
            </w:r>
            <w:r w:rsidRPr="000C0704">
              <w:rPr>
                <w:rFonts w:ascii="Verdana" w:hAnsi="Verdana"/>
                <w:sz w:val="18"/>
                <w:szCs w:val="18"/>
              </w:rPr>
              <w:t xml:space="preserve"> opens </w:t>
            </w:r>
            <w:r w:rsidR="003C5C3B">
              <w:rPr>
                <w:rFonts w:ascii="Verdana" w:hAnsi="Verdana"/>
                <w:sz w:val="18"/>
                <w:szCs w:val="18"/>
              </w:rPr>
              <w:t>Winter 202</w:t>
            </w:r>
            <w:r w:rsidR="00EB7717">
              <w:rPr>
                <w:rFonts w:ascii="Verdana" w:hAnsi="Verdana"/>
                <w:sz w:val="18"/>
                <w:szCs w:val="18"/>
              </w:rPr>
              <w:t>3</w:t>
            </w:r>
            <w:r w:rsidR="003C5C3B">
              <w:rPr>
                <w:rFonts w:ascii="Verdana" w:hAnsi="Verdana"/>
                <w:sz w:val="18"/>
                <w:szCs w:val="18"/>
              </w:rPr>
              <w:t>/202</w:t>
            </w:r>
            <w:r w:rsidR="00EB7717">
              <w:rPr>
                <w:rFonts w:ascii="Verdana" w:hAnsi="Verdana"/>
                <w:sz w:val="18"/>
                <w:szCs w:val="18"/>
              </w:rPr>
              <w:t>4</w:t>
            </w:r>
            <w:r w:rsidR="003C5C3B">
              <w:rPr>
                <w:rFonts w:ascii="Verdana" w:hAnsi="Verdana"/>
                <w:sz w:val="18"/>
                <w:szCs w:val="18"/>
              </w:rPr>
              <w:t xml:space="preserve"> </w:t>
            </w:r>
            <w:r w:rsidRPr="000C0704">
              <w:rPr>
                <w:rFonts w:ascii="Verdana" w:hAnsi="Verdana"/>
                <w:sz w:val="18"/>
                <w:szCs w:val="18"/>
              </w:rPr>
              <w:t>applications process</w:t>
            </w:r>
            <w:r w:rsidR="00EE61D6">
              <w:rPr>
                <w:rFonts w:ascii="Verdana" w:hAnsi="Verdana"/>
                <w:sz w:val="18"/>
                <w:szCs w:val="18"/>
              </w:rPr>
              <w:t xml:space="preserve">.  </w:t>
            </w:r>
            <w:r w:rsidRPr="000C0704">
              <w:rPr>
                <w:rFonts w:ascii="Verdana" w:hAnsi="Verdana"/>
                <w:sz w:val="18"/>
                <w:szCs w:val="18"/>
              </w:rPr>
              <w:t>Applicants</w:t>
            </w:r>
            <w:r w:rsidR="003C5C3B">
              <w:rPr>
                <w:rFonts w:ascii="Verdana" w:hAnsi="Verdana"/>
                <w:sz w:val="18"/>
                <w:szCs w:val="18"/>
              </w:rPr>
              <w:t xml:space="preserve"> </w:t>
            </w:r>
            <w:r w:rsidRPr="000C0704">
              <w:rPr>
                <w:rFonts w:ascii="Verdana" w:hAnsi="Verdana"/>
                <w:sz w:val="18"/>
                <w:szCs w:val="18"/>
              </w:rPr>
              <w:t xml:space="preserve">request application documents and may start discussing content of potential applications with </w:t>
            </w:r>
            <w:r>
              <w:rPr>
                <w:rFonts w:ascii="Verdana" w:hAnsi="Verdana"/>
                <w:sz w:val="18"/>
                <w:szCs w:val="18"/>
              </w:rPr>
              <w:t>M</w:t>
            </w:r>
            <w:r w:rsidRPr="000C0704">
              <w:rPr>
                <w:rFonts w:ascii="Verdana" w:hAnsi="Verdana"/>
                <w:sz w:val="18"/>
                <w:szCs w:val="18"/>
              </w:rPr>
              <w:t>T</w:t>
            </w:r>
            <w:r w:rsidR="009D628A">
              <w:rPr>
                <w:rFonts w:ascii="Verdana" w:hAnsi="Verdana"/>
                <w:sz w:val="18"/>
                <w:szCs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8" w:type="dxa"/>
              <w:bottom w:w="0" w:type="dxa"/>
              <w:right w:w="38" w:type="dxa"/>
            </w:tcMar>
          </w:tcPr>
          <w:p w14:paraId="57FDFE02" w14:textId="1846B64C" w:rsidR="00667D26" w:rsidRPr="00C37D90" w:rsidRDefault="00667D26" w:rsidP="00667D26">
            <w:pPr>
              <w:ind w:hanging="11"/>
              <w:jc w:val="center"/>
              <w:rPr>
                <w:rFonts w:ascii="Verdana" w:hAnsi="Verdana"/>
                <w:sz w:val="18"/>
                <w:szCs w:val="18"/>
              </w:rPr>
            </w:pPr>
            <w:r>
              <w:rPr>
                <w:rFonts w:ascii="Verdana" w:hAnsi="Verdana"/>
                <w:sz w:val="18"/>
                <w:szCs w:val="18"/>
              </w:rPr>
              <w:t>1</w:t>
            </w:r>
            <w:r w:rsidR="00A41EA9">
              <w:rPr>
                <w:rFonts w:ascii="Verdana" w:hAnsi="Verdana"/>
                <w:sz w:val="18"/>
                <w:szCs w:val="18"/>
              </w:rPr>
              <w:t>0</w:t>
            </w:r>
          </w:p>
        </w:tc>
      </w:tr>
      <w:tr w:rsidR="00667D26" w:rsidRPr="000C0704" w14:paraId="57FDFE1D" w14:textId="77777777" w:rsidTr="008305E8">
        <w:trPr>
          <w:trHeight w:val="308"/>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hideMark/>
          </w:tcPr>
          <w:p w14:paraId="57FDFE18" w14:textId="6BCC41F8" w:rsidR="00667D26" w:rsidRPr="000C0704" w:rsidRDefault="00667D26" w:rsidP="008305E8">
            <w:pPr>
              <w:jc w:val="center"/>
              <w:rPr>
                <w:rFonts w:ascii="Verdana" w:hAnsi="Verdana"/>
                <w:sz w:val="18"/>
                <w:szCs w:val="18"/>
              </w:rPr>
            </w:pPr>
            <w:r w:rsidRPr="000C0704">
              <w:rPr>
                <w:rFonts w:ascii="Verdana" w:hAnsi="Verdana"/>
                <w:b/>
                <w:bCs/>
                <w:sz w:val="18"/>
                <w:szCs w:val="18"/>
              </w:rPr>
              <w:t>By</w:t>
            </w:r>
            <w:r w:rsidR="008305E8">
              <w:rPr>
                <w:rFonts w:ascii="Verdana" w:hAnsi="Verdana"/>
                <w:b/>
                <w:bCs/>
                <w:sz w:val="18"/>
                <w:szCs w:val="18"/>
              </w:rPr>
              <w:t xml:space="preserve"> </w:t>
            </w:r>
            <w:r w:rsidRPr="000C0704">
              <w:rPr>
                <w:rFonts w:ascii="Verdana" w:hAnsi="Verdana"/>
                <w:b/>
                <w:bCs/>
                <w:sz w:val="18"/>
                <w:szCs w:val="18"/>
              </w:rPr>
              <w:t>x-</w:t>
            </w:r>
            <w:r>
              <w:rPr>
                <w:rFonts w:ascii="Verdana" w:hAnsi="Verdana"/>
                <w:b/>
                <w:bCs/>
                <w:sz w:val="18"/>
                <w:szCs w:val="18"/>
              </w:rPr>
              <w:t>7</w:t>
            </w:r>
          </w:p>
        </w:tc>
        <w:tc>
          <w:tcPr>
            <w:tcW w:w="1417" w:type="dxa"/>
            <w:vMerge w:val="restart"/>
            <w:tcBorders>
              <w:top w:val="single" w:sz="8" w:space="0" w:color="000000"/>
              <w:left w:val="single" w:sz="8" w:space="0" w:color="000000"/>
              <w:right w:val="single" w:sz="8" w:space="0" w:color="000000"/>
            </w:tcBorders>
            <w:vAlign w:val="center"/>
          </w:tcPr>
          <w:p w14:paraId="0B84A8BC" w14:textId="7B1117A5" w:rsidR="00667D26" w:rsidRPr="000C0704" w:rsidRDefault="007353EE" w:rsidP="00EB2B86">
            <w:pPr>
              <w:jc w:val="center"/>
              <w:rPr>
                <w:rFonts w:ascii="Verdana" w:hAnsi="Verdana"/>
                <w:sz w:val="18"/>
                <w:szCs w:val="18"/>
              </w:rPr>
            </w:pPr>
            <w:r>
              <w:rPr>
                <w:rFonts w:ascii="Verdana" w:hAnsi="Verdana"/>
                <w:sz w:val="18"/>
                <w:szCs w:val="18"/>
              </w:rPr>
              <w:t>23</w:t>
            </w:r>
            <w:r w:rsidR="00667D26">
              <w:rPr>
                <w:rFonts w:ascii="Verdana" w:hAnsi="Verdana"/>
                <w:sz w:val="18"/>
                <w:szCs w:val="18"/>
              </w:rPr>
              <w:t xml:space="preserve"> March</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57FDFE19" w14:textId="3423554E" w:rsidR="00667D26" w:rsidRPr="000C0704" w:rsidRDefault="00667D26" w:rsidP="00810C51">
            <w:pPr>
              <w:jc w:val="center"/>
              <w:rPr>
                <w:rFonts w:ascii="Verdana" w:hAnsi="Verdana"/>
                <w:sz w:val="18"/>
                <w:szCs w:val="18"/>
              </w:rPr>
            </w:pPr>
            <w:r w:rsidRPr="000C0704">
              <w:rPr>
                <w:rFonts w:ascii="Verdana" w:hAnsi="Verdana"/>
                <w:sz w:val="18"/>
                <w:szCs w:val="18"/>
              </w:rPr>
              <w:t>1.4.1 (a)</w:t>
            </w:r>
          </w:p>
        </w:tc>
        <w:tc>
          <w:tcPr>
            <w:tcW w:w="9214"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57FDFE1A" w14:textId="0C3D91E7" w:rsidR="00667D26" w:rsidRPr="000C0704" w:rsidRDefault="00667D26" w:rsidP="00667D26">
            <w:pPr>
              <w:rPr>
                <w:rFonts w:ascii="Verdana" w:hAnsi="Verdana"/>
                <w:sz w:val="18"/>
                <w:szCs w:val="18"/>
              </w:rPr>
            </w:pPr>
            <w:r w:rsidRPr="000C0704">
              <w:rPr>
                <w:rFonts w:ascii="Verdana" w:hAnsi="Verdana"/>
                <w:sz w:val="18"/>
                <w:szCs w:val="18"/>
              </w:rPr>
              <w:t xml:space="preserve">MT receives </w:t>
            </w:r>
            <w:r w:rsidR="00FC45A1">
              <w:rPr>
                <w:rFonts w:ascii="Verdana" w:hAnsi="Verdana"/>
                <w:sz w:val="18"/>
                <w:szCs w:val="18"/>
              </w:rPr>
              <w:t>s</w:t>
            </w:r>
            <w:r w:rsidRPr="000C0704">
              <w:rPr>
                <w:rFonts w:ascii="Verdana" w:hAnsi="Verdana"/>
                <w:sz w:val="18"/>
                <w:szCs w:val="18"/>
              </w:rPr>
              <w:t>lot requests from Applicants</w:t>
            </w:r>
            <w:r w:rsidR="009D628A">
              <w:rPr>
                <w:rFonts w:ascii="Verdana" w:hAnsi="Verdana"/>
                <w:sz w:val="18"/>
                <w:szCs w:val="18"/>
              </w:rPr>
              <w:t>.</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tcPr>
          <w:p w14:paraId="57FDFE1B" w14:textId="59C506E8" w:rsidR="00667D26" w:rsidRPr="00C37D90" w:rsidRDefault="00667D26" w:rsidP="00667D26">
            <w:pPr>
              <w:jc w:val="center"/>
              <w:rPr>
                <w:rFonts w:ascii="Verdana" w:hAnsi="Verdana"/>
                <w:sz w:val="18"/>
                <w:szCs w:val="18"/>
              </w:rPr>
            </w:pPr>
            <w:r>
              <w:rPr>
                <w:rFonts w:ascii="Verdana" w:hAnsi="Verdana"/>
                <w:sz w:val="18"/>
                <w:szCs w:val="18"/>
              </w:rPr>
              <w:t>1</w:t>
            </w:r>
            <w:r w:rsidR="00A41EA9">
              <w:rPr>
                <w:rFonts w:ascii="Verdana" w:hAnsi="Verdana"/>
                <w:sz w:val="18"/>
                <w:szCs w:val="18"/>
              </w:rPr>
              <w:t>2</w:t>
            </w:r>
          </w:p>
        </w:tc>
      </w:tr>
      <w:tr w:rsidR="00667D26" w:rsidRPr="000C0704" w14:paraId="57FDFE23" w14:textId="77777777" w:rsidTr="008305E8">
        <w:trPr>
          <w:trHeight w:val="308"/>
        </w:trPr>
        <w:tc>
          <w:tcPr>
            <w:tcW w:w="983" w:type="dxa"/>
            <w:vMerge/>
            <w:tcBorders>
              <w:top w:val="single" w:sz="8" w:space="0" w:color="000000"/>
              <w:left w:val="single" w:sz="8" w:space="0" w:color="000000"/>
              <w:bottom w:val="single" w:sz="8" w:space="0" w:color="000000"/>
              <w:right w:val="single" w:sz="8" w:space="0" w:color="000000"/>
            </w:tcBorders>
            <w:vAlign w:val="center"/>
            <w:hideMark/>
          </w:tcPr>
          <w:p w14:paraId="57FDFE1E" w14:textId="77777777" w:rsidR="00667D26" w:rsidRPr="006F31E2" w:rsidRDefault="00667D26" w:rsidP="008305E8">
            <w:pPr>
              <w:jc w:val="center"/>
              <w:rPr>
                <w:rFonts w:ascii="Verdana" w:hAnsi="Verdana"/>
                <w:sz w:val="18"/>
              </w:rPr>
            </w:pPr>
          </w:p>
        </w:tc>
        <w:tc>
          <w:tcPr>
            <w:tcW w:w="1417" w:type="dxa"/>
            <w:vMerge/>
            <w:tcBorders>
              <w:left w:val="single" w:sz="8" w:space="0" w:color="000000"/>
              <w:right w:val="single" w:sz="8" w:space="0" w:color="000000"/>
            </w:tcBorders>
            <w:vAlign w:val="center"/>
          </w:tcPr>
          <w:p w14:paraId="14A34F56" w14:textId="77777777" w:rsidR="00667D26" w:rsidRPr="000C0704" w:rsidRDefault="00667D26" w:rsidP="00667D26">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tcPr>
          <w:p w14:paraId="57FDFE1F" w14:textId="6663904A" w:rsidR="00667D26" w:rsidRPr="000C0704" w:rsidRDefault="00667D26" w:rsidP="00810C51">
            <w:pPr>
              <w:jc w:val="center"/>
              <w:rPr>
                <w:rFonts w:ascii="Verdana" w:hAnsi="Verdana"/>
                <w:sz w:val="18"/>
                <w:szCs w:val="18"/>
              </w:rPr>
            </w:pPr>
            <w:r w:rsidRPr="000C0704">
              <w:rPr>
                <w:rFonts w:ascii="Verdana" w:hAnsi="Verdana"/>
                <w:sz w:val="18"/>
                <w:szCs w:val="18"/>
              </w:rPr>
              <w:t>1.4.1 (b)</w:t>
            </w:r>
          </w:p>
        </w:tc>
        <w:tc>
          <w:tcPr>
            <w:tcW w:w="9214"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tcPr>
          <w:p w14:paraId="57FDFE20" w14:textId="24B343D2" w:rsidR="00667D26" w:rsidRPr="000C0704" w:rsidRDefault="00667D26" w:rsidP="00667D26">
            <w:pPr>
              <w:rPr>
                <w:rFonts w:ascii="Verdana" w:hAnsi="Verdana"/>
                <w:sz w:val="18"/>
                <w:szCs w:val="18"/>
              </w:rPr>
            </w:pPr>
            <w:r w:rsidRPr="000C0704">
              <w:rPr>
                <w:rFonts w:ascii="Verdana" w:hAnsi="Verdana"/>
                <w:sz w:val="18"/>
                <w:szCs w:val="18"/>
              </w:rPr>
              <w:t xml:space="preserve">MT receives details of leased </w:t>
            </w:r>
            <w:r w:rsidR="00FC45A1">
              <w:rPr>
                <w:rFonts w:ascii="Verdana" w:hAnsi="Verdana"/>
                <w:sz w:val="18"/>
                <w:szCs w:val="18"/>
              </w:rPr>
              <w:t xml:space="preserve">and </w:t>
            </w:r>
            <w:r w:rsidRPr="000C0704">
              <w:rPr>
                <w:rFonts w:ascii="Verdana" w:hAnsi="Verdana"/>
                <w:sz w:val="18"/>
                <w:szCs w:val="18"/>
              </w:rPr>
              <w:t>exchanged slots</w:t>
            </w:r>
            <w:r w:rsidR="009D628A">
              <w:rPr>
                <w:rFonts w:ascii="Verdana" w:hAnsi="Verdana"/>
                <w:sz w:val="18"/>
                <w:szCs w:val="18"/>
              </w:rPr>
              <w:t>.</w:t>
            </w:r>
            <w:r w:rsidRPr="000C0704">
              <w:rPr>
                <w:rFonts w:ascii="Verdana" w:hAnsi="Verdana"/>
                <w:sz w:val="18"/>
                <w:szCs w:val="18"/>
              </w:rPr>
              <w:t xml:space="preserve"> </w:t>
            </w:r>
          </w:p>
        </w:tc>
        <w:tc>
          <w:tcPr>
            <w:tcW w:w="1417" w:type="dxa"/>
            <w:vMerge/>
            <w:tcBorders>
              <w:top w:val="single" w:sz="8" w:space="0" w:color="000000"/>
              <w:left w:val="single" w:sz="8" w:space="0" w:color="000000"/>
              <w:bottom w:val="single" w:sz="8" w:space="0" w:color="000000"/>
              <w:right w:val="single" w:sz="8" w:space="0" w:color="000000"/>
            </w:tcBorders>
            <w:vAlign w:val="center"/>
          </w:tcPr>
          <w:p w14:paraId="57FDFE21" w14:textId="77777777" w:rsidR="00667D26" w:rsidRPr="00C37D90" w:rsidRDefault="00667D26" w:rsidP="00667D26">
            <w:pPr>
              <w:jc w:val="center"/>
              <w:rPr>
                <w:rFonts w:ascii="Verdana" w:hAnsi="Verdana"/>
                <w:sz w:val="18"/>
              </w:rPr>
            </w:pPr>
          </w:p>
        </w:tc>
      </w:tr>
      <w:tr w:rsidR="00667D26" w:rsidRPr="000C0704" w14:paraId="57FDFE2A" w14:textId="77777777" w:rsidTr="008305E8">
        <w:trPr>
          <w:trHeight w:val="306"/>
        </w:trPr>
        <w:tc>
          <w:tcPr>
            <w:tcW w:w="983" w:type="dxa"/>
            <w:vMerge/>
            <w:tcBorders>
              <w:top w:val="single" w:sz="8" w:space="0" w:color="000000"/>
              <w:left w:val="single" w:sz="8" w:space="0" w:color="000000"/>
              <w:bottom w:val="single" w:sz="8" w:space="0" w:color="000000"/>
              <w:right w:val="single" w:sz="8" w:space="0" w:color="000000"/>
            </w:tcBorders>
            <w:vAlign w:val="center"/>
            <w:hideMark/>
          </w:tcPr>
          <w:p w14:paraId="57FDFE24" w14:textId="77777777" w:rsidR="00667D26" w:rsidRPr="006F31E2" w:rsidRDefault="00667D26" w:rsidP="008305E8">
            <w:pPr>
              <w:jc w:val="center"/>
              <w:rPr>
                <w:rFonts w:ascii="Verdana" w:hAnsi="Verdana"/>
                <w:sz w:val="18"/>
              </w:rPr>
            </w:pPr>
          </w:p>
        </w:tc>
        <w:tc>
          <w:tcPr>
            <w:tcW w:w="1417" w:type="dxa"/>
            <w:vMerge/>
            <w:tcBorders>
              <w:left w:val="single" w:sz="8" w:space="0" w:color="000000"/>
              <w:bottom w:val="single" w:sz="8" w:space="0" w:color="000000"/>
              <w:right w:val="single" w:sz="8" w:space="0" w:color="000000"/>
            </w:tcBorders>
            <w:vAlign w:val="center"/>
          </w:tcPr>
          <w:p w14:paraId="00CAA1C4" w14:textId="77777777" w:rsidR="00667D26" w:rsidRPr="000C0704" w:rsidRDefault="00667D26" w:rsidP="00667D26">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tcPr>
          <w:p w14:paraId="57FDFE25" w14:textId="4F8A1EC1" w:rsidR="00667D26" w:rsidRPr="000C0704" w:rsidRDefault="00667D26" w:rsidP="00810C51">
            <w:pPr>
              <w:jc w:val="center"/>
              <w:rPr>
                <w:rFonts w:ascii="Verdana" w:hAnsi="Verdana"/>
                <w:sz w:val="18"/>
                <w:szCs w:val="18"/>
              </w:rPr>
            </w:pPr>
            <w:r w:rsidRPr="000C0704">
              <w:rPr>
                <w:rFonts w:ascii="Verdana" w:hAnsi="Verdana"/>
                <w:sz w:val="18"/>
                <w:szCs w:val="18"/>
              </w:rPr>
              <w:t>1.4.1 (c)</w:t>
            </w:r>
          </w:p>
        </w:tc>
        <w:tc>
          <w:tcPr>
            <w:tcW w:w="9214"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tcPr>
          <w:p w14:paraId="04AD1554" w14:textId="77777777" w:rsidR="0016478A" w:rsidRDefault="0016478A" w:rsidP="0016478A">
            <w:pPr>
              <w:rPr>
                <w:rFonts w:ascii="Verdana" w:hAnsi="Verdana"/>
                <w:sz w:val="18"/>
                <w:szCs w:val="18"/>
              </w:rPr>
            </w:pPr>
            <w:r w:rsidRPr="000C0704">
              <w:rPr>
                <w:rFonts w:ascii="Verdana" w:hAnsi="Verdana"/>
                <w:sz w:val="18"/>
                <w:szCs w:val="18"/>
              </w:rPr>
              <w:t>MT receives requests for anonymity and reasoned explanation of such request</w:t>
            </w:r>
            <w:r>
              <w:rPr>
                <w:rFonts w:ascii="Verdana" w:hAnsi="Verdana"/>
                <w:sz w:val="18"/>
                <w:szCs w:val="18"/>
              </w:rPr>
              <w:t xml:space="preserve">.  </w:t>
            </w:r>
          </w:p>
          <w:p w14:paraId="7F17F5A1" w14:textId="7551C8B1" w:rsidR="0016478A" w:rsidRDefault="0016478A" w:rsidP="0016478A">
            <w:pPr>
              <w:rPr>
                <w:rFonts w:ascii="Verdana" w:hAnsi="Verdana"/>
                <w:sz w:val="18"/>
                <w:szCs w:val="18"/>
              </w:rPr>
            </w:pPr>
            <w:r>
              <w:rPr>
                <w:rFonts w:ascii="Verdana" w:hAnsi="Verdana"/>
                <w:sz w:val="18"/>
                <w:szCs w:val="18"/>
              </w:rPr>
              <w:t xml:space="preserve">Such requests are to be sent to </w:t>
            </w:r>
            <w:r w:rsidRPr="000C0704">
              <w:rPr>
                <w:rFonts w:ascii="Verdana" w:hAnsi="Verdana"/>
                <w:sz w:val="18"/>
                <w:szCs w:val="18"/>
              </w:rPr>
              <w:t>the Commission</w:t>
            </w:r>
            <w:r>
              <w:rPr>
                <w:rFonts w:ascii="Verdana" w:hAnsi="Verdana"/>
                <w:sz w:val="18"/>
                <w:szCs w:val="18"/>
              </w:rPr>
              <w:t xml:space="preserve"> immediately. Within one week, the MT to </w:t>
            </w:r>
            <w:r w:rsidRPr="00712074">
              <w:rPr>
                <w:rFonts w:ascii="Verdana" w:hAnsi="Verdana"/>
                <w:sz w:val="18"/>
                <w:szCs w:val="18"/>
              </w:rPr>
              <w:t>advise the Commission</w:t>
            </w:r>
            <w:r>
              <w:rPr>
                <w:rFonts w:ascii="Verdana" w:hAnsi="Verdana"/>
                <w:sz w:val="18"/>
                <w:szCs w:val="18"/>
              </w:rPr>
              <w:t xml:space="preserve"> </w:t>
            </w:r>
            <w:r w:rsidRPr="00712074">
              <w:rPr>
                <w:rFonts w:ascii="Verdana" w:hAnsi="Verdana"/>
                <w:sz w:val="18"/>
                <w:szCs w:val="18"/>
              </w:rPr>
              <w:t>whether or not that request should be granted</w:t>
            </w:r>
            <w:r>
              <w:rPr>
                <w:rFonts w:ascii="Verdana" w:hAnsi="Verdana"/>
                <w:sz w:val="18"/>
                <w:szCs w:val="18"/>
              </w:rPr>
              <w:t xml:space="preserve">. </w:t>
            </w:r>
          </w:p>
          <w:p w14:paraId="57FDFE27" w14:textId="55371194" w:rsidR="00B32FB3" w:rsidRPr="000C0704" w:rsidRDefault="0016478A" w:rsidP="0016478A">
            <w:pPr>
              <w:rPr>
                <w:rFonts w:ascii="Verdana" w:hAnsi="Verdana"/>
                <w:sz w:val="18"/>
                <w:szCs w:val="18"/>
              </w:rPr>
            </w:pPr>
            <w:r>
              <w:rPr>
                <w:rFonts w:ascii="Verdana" w:hAnsi="Verdana"/>
                <w:sz w:val="18"/>
                <w:szCs w:val="18"/>
              </w:rPr>
              <w:t xml:space="preserve">Within three weeks, the MT in consultation with the Commission to decide whether the request may be treated anonymously. </w:t>
            </w:r>
            <w:r w:rsidRPr="000C0704">
              <w:rPr>
                <w:rFonts w:ascii="Verdana" w:hAnsi="Verdana"/>
                <w:sz w:val="18"/>
                <w:szCs w:val="18"/>
              </w:rPr>
              <w:t xml:space="preserve"> </w:t>
            </w:r>
          </w:p>
        </w:tc>
        <w:tc>
          <w:tcPr>
            <w:tcW w:w="1417" w:type="dxa"/>
            <w:vMerge/>
            <w:tcBorders>
              <w:top w:val="single" w:sz="8" w:space="0" w:color="000000"/>
              <w:left w:val="single" w:sz="8" w:space="0" w:color="000000"/>
              <w:bottom w:val="single" w:sz="8" w:space="0" w:color="000000"/>
              <w:right w:val="single" w:sz="8" w:space="0" w:color="000000"/>
            </w:tcBorders>
            <w:vAlign w:val="center"/>
          </w:tcPr>
          <w:p w14:paraId="57FDFE28" w14:textId="77777777" w:rsidR="00667D26" w:rsidRPr="00C37D90" w:rsidRDefault="00667D26" w:rsidP="00667D26">
            <w:pPr>
              <w:jc w:val="center"/>
              <w:rPr>
                <w:rFonts w:ascii="Verdana" w:hAnsi="Verdana"/>
                <w:sz w:val="18"/>
              </w:rPr>
            </w:pPr>
          </w:p>
        </w:tc>
      </w:tr>
      <w:tr w:rsidR="00667D26" w:rsidRPr="000C0704" w14:paraId="57FDFE2F" w14:textId="77777777" w:rsidTr="008305E8">
        <w:trPr>
          <w:trHeight w:val="285"/>
        </w:trPr>
        <w:tc>
          <w:tcPr>
            <w:tcW w:w="983"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5" w:type="dxa"/>
              <w:left w:w="38" w:type="dxa"/>
              <w:bottom w:w="0" w:type="dxa"/>
              <w:right w:w="38" w:type="dxa"/>
            </w:tcMar>
            <w:vAlign w:val="center"/>
            <w:hideMark/>
          </w:tcPr>
          <w:p w14:paraId="57FDFE2B" w14:textId="77777777" w:rsidR="00667D26" w:rsidRPr="000C0704" w:rsidRDefault="00667D26" w:rsidP="008305E8">
            <w:pPr>
              <w:jc w:val="center"/>
              <w:rPr>
                <w:rFonts w:ascii="Verdana" w:hAnsi="Verdana"/>
                <w:sz w:val="18"/>
                <w:szCs w:val="18"/>
              </w:rPr>
            </w:pPr>
          </w:p>
        </w:tc>
        <w:tc>
          <w:tcPr>
            <w:tcW w:w="12190" w:type="dxa"/>
            <w:gridSpan w:val="3"/>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14:paraId="57FDFE2C" w14:textId="7989C091" w:rsidR="00667D26" w:rsidRPr="00BD4021" w:rsidRDefault="00EB7717" w:rsidP="003455AC">
            <w:pPr>
              <w:jc w:val="left"/>
              <w:rPr>
                <w:rFonts w:ascii="Verdana" w:hAnsi="Verdana"/>
                <w:color w:val="000000" w:themeColor="text1"/>
                <w:sz w:val="18"/>
              </w:rPr>
            </w:pPr>
            <w:r>
              <w:rPr>
                <w:rFonts w:ascii="Verdana" w:hAnsi="Verdana"/>
                <w:b/>
                <w:bCs/>
                <w:color w:val="000000" w:themeColor="text1"/>
                <w:sz w:val="18"/>
                <w:szCs w:val="18"/>
              </w:rPr>
              <w:t>23</w:t>
            </w:r>
            <w:r w:rsidR="0083540E">
              <w:rPr>
                <w:rFonts w:ascii="Verdana" w:hAnsi="Verdana"/>
                <w:b/>
                <w:bCs/>
                <w:color w:val="000000" w:themeColor="text1"/>
                <w:sz w:val="18"/>
                <w:szCs w:val="18"/>
              </w:rPr>
              <w:t xml:space="preserve"> March</w:t>
            </w:r>
            <w:r w:rsidR="003455AC">
              <w:rPr>
                <w:rFonts w:ascii="Verdana" w:hAnsi="Verdana"/>
                <w:b/>
                <w:bCs/>
                <w:color w:val="000000" w:themeColor="text1"/>
                <w:sz w:val="18"/>
                <w:szCs w:val="18"/>
              </w:rPr>
              <w:t xml:space="preserve"> </w:t>
            </w:r>
            <w:r w:rsidR="0083540E">
              <w:rPr>
                <w:rFonts w:ascii="Verdana" w:hAnsi="Verdana"/>
                <w:b/>
                <w:bCs/>
                <w:color w:val="000000" w:themeColor="text1"/>
                <w:sz w:val="18"/>
                <w:szCs w:val="18"/>
              </w:rPr>
              <w:t xml:space="preserve">– </w:t>
            </w:r>
            <w:r w:rsidR="009D628A">
              <w:rPr>
                <w:rFonts w:ascii="Verdana" w:hAnsi="Verdana"/>
                <w:b/>
                <w:bCs/>
                <w:color w:val="000000" w:themeColor="text1"/>
                <w:sz w:val="18"/>
                <w:szCs w:val="18"/>
              </w:rPr>
              <w:t>d</w:t>
            </w:r>
            <w:r w:rsidR="00667D26" w:rsidRPr="000C0704">
              <w:rPr>
                <w:rFonts w:ascii="Verdana" w:hAnsi="Verdana"/>
                <w:b/>
                <w:bCs/>
                <w:color w:val="000000" w:themeColor="text1"/>
                <w:sz w:val="18"/>
                <w:szCs w:val="18"/>
              </w:rPr>
              <w:t xml:space="preserve">eadline for </w:t>
            </w:r>
            <w:r w:rsidR="0083540E">
              <w:rPr>
                <w:rFonts w:ascii="Verdana" w:hAnsi="Verdana"/>
                <w:b/>
                <w:bCs/>
                <w:color w:val="000000" w:themeColor="text1"/>
                <w:sz w:val="18"/>
                <w:szCs w:val="18"/>
              </w:rPr>
              <w:t>s</w:t>
            </w:r>
            <w:r w:rsidR="00667D26" w:rsidRPr="000C0704">
              <w:rPr>
                <w:rFonts w:ascii="Verdana" w:hAnsi="Verdana"/>
                <w:b/>
                <w:bCs/>
                <w:color w:val="000000" w:themeColor="text1"/>
                <w:sz w:val="18"/>
                <w:szCs w:val="18"/>
              </w:rPr>
              <w:t xml:space="preserve">lot </w:t>
            </w:r>
            <w:r w:rsidR="00667D26">
              <w:rPr>
                <w:rFonts w:ascii="Verdana" w:hAnsi="Verdana"/>
                <w:b/>
                <w:bCs/>
                <w:color w:val="000000" w:themeColor="text1"/>
                <w:sz w:val="18"/>
                <w:szCs w:val="18"/>
              </w:rPr>
              <w:t>r</w:t>
            </w:r>
            <w:r w:rsidR="00667D26" w:rsidRPr="000C0704">
              <w:rPr>
                <w:rFonts w:ascii="Verdana" w:hAnsi="Verdana"/>
                <w:b/>
                <w:bCs/>
                <w:color w:val="000000" w:themeColor="text1"/>
                <w:sz w:val="18"/>
                <w:szCs w:val="18"/>
              </w:rPr>
              <w:t>equest</w:t>
            </w:r>
            <w:r w:rsidR="0083540E">
              <w:rPr>
                <w:rFonts w:ascii="Verdana" w:hAnsi="Verdana"/>
                <w:b/>
                <w:bCs/>
                <w:color w:val="000000" w:themeColor="text1"/>
                <w:sz w:val="18"/>
                <w:szCs w:val="18"/>
              </w:rPr>
              <w:t xml:space="preserve"> applications</w:t>
            </w:r>
          </w:p>
        </w:tc>
        <w:tc>
          <w:tcPr>
            <w:tcW w:w="1417"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5" w:type="dxa"/>
              <w:left w:w="38" w:type="dxa"/>
              <w:bottom w:w="0" w:type="dxa"/>
              <w:right w:w="38" w:type="dxa"/>
            </w:tcMar>
          </w:tcPr>
          <w:p w14:paraId="57FDFE2D" w14:textId="77777777" w:rsidR="00667D26" w:rsidRPr="00C37D90" w:rsidRDefault="00667D26" w:rsidP="00667D26">
            <w:pPr>
              <w:rPr>
                <w:rFonts w:ascii="Verdana" w:hAnsi="Verdana"/>
                <w:sz w:val="18"/>
              </w:rPr>
            </w:pPr>
          </w:p>
        </w:tc>
      </w:tr>
      <w:tr w:rsidR="004D6282" w:rsidRPr="000C0704" w14:paraId="57FDFE39" w14:textId="77777777" w:rsidTr="008305E8">
        <w:trPr>
          <w:trHeight w:val="492"/>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hideMark/>
          </w:tcPr>
          <w:p w14:paraId="57FDFE31" w14:textId="34AD70B0" w:rsidR="004D6282" w:rsidRPr="000C0704" w:rsidRDefault="004D6282" w:rsidP="008305E8">
            <w:pPr>
              <w:jc w:val="center"/>
              <w:rPr>
                <w:rFonts w:ascii="Verdana" w:hAnsi="Verdana"/>
                <w:sz w:val="18"/>
                <w:szCs w:val="18"/>
              </w:rPr>
            </w:pPr>
            <w:r w:rsidRPr="000C0704">
              <w:rPr>
                <w:rFonts w:ascii="Verdana" w:hAnsi="Verdana"/>
                <w:b/>
                <w:bCs/>
                <w:sz w:val="18"/>
                <w:szCs w:val="18"/>
              </w:rPr>
              <w:t>By</w:t>
            </w:r>
            <w:r w:rsidR="008305E8">
              <w:rPr>
                <w:rFonts w:ascii="Verdana" w:hAnsi="Verdana"/>
                <w:sz w:val="18"/>
                <w:szCs w:val="18"/>
              </w:rPr>
              <w:t xml:space="preserve"> </w:t>
            </w:r>
            <w:r w:rsidRPr="000C0704">
              <w:rPr>
                <w:rFonts w:ascii="Verdana" w:hAnsi="Verdana"/>
                <w:b/>
                <w:bCs/>
                <w:sz w:val="18"/>
                <w:szCs w:val="18"/>
              </w:rPr>
              <w:t>x-</w:t>
            </w:r>
            <w:r>
              <w:rPr>
                <w:rFonts w:ascii="Verdana" w:hAnsi="Verdana"/>
                <w:b/>
                <w:bCs/>
                <w:sz w:val="18"/>
                <w:szCs w:val="18"/>
              </w:rPr>
              <w:t>6</w:t>
            </w:r>
          </w:p>
        </w:tc>
        <w:tc>
          <w:tcPr>
            <w:tcW w:w="1417" w:type="dxa"/>
            <w:vMerge w:val="restart"/>
            <w:tcBorders>
              <w:top w:val="single" w:sz="8" w:space="0" w:color="000000"/>
              <w:left w:val="single" w:sz="8" w:space="0" w:color="000000"/>
              <w:right w:val="single" w:sz="8" w:space="0" w:color="000000"/>
            </w:tcBorders>
            <w:vAlign w:val="center"/>
          </w:tcPr>
          <w:p w14:paraId="26FB36DF" w14:textId="7CC8ED12" w:rsidR="004D6282" w:rsidRPr="000C0704" w:rsidRDefault="007353EE" w:rsidP="00EB2B86">
            <w:pPr>
              <w:jc w:val="center"/>
              <w:rPr>
                <w:rFonts w:ascii="Verdana" w:hAnsi="Verdana"/>
                <w:sz w:val="18"/>
                <w:szCs w:val="18"/>
              </w:rPr>
            </w:pPr>
            <w:r>
              <w:rPr>
                <w:rFonts w:ascii="Verdana" w:hAnsi="Verdana"/>
                <w:sz w:val="18"/>
                <w:szCs w:val="18"/>
              </w:rPr>
              <w:t>30</w:t>
            </w:r>
            <w:r w:rsidR="004D6282">
              <w:rPr>
                <w:rFonts w:ascii="Verdana" w:hAnsi="Verdana"/>
                <w:sz w:val="18"/>
                <w:szCs w:val="18"/>
              </w:rPr>
              <w:t xml:space="preserve"> </w:t>
            </w:r>
            <w:r>
              <w:rPr>
                <w:rFonts w:ascii="Verdana" w:hAnsi="Verdana"/>
                <w:sz w:val="18"/>
                <w:szCs w:val="18"/>
              </w:rPr>
              <w:t>March</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57FDFE32" w14:textId="543E8022" w:rsidR="004D6282" w:rsidRPr="000C0704" w:rsidRDefault="004D6282" w:rsidP="00810C51">
            <w:pPr>
              <w:jc w:val="center"/>
              <w:rPr>
                <w:rFonts w:ascii="Verdana" w:hAnsi="Verdana"/>
                <w:sz w:val="18"/>
                <w:szCs w:val="18"/>
              </w:rPr>
            </w:pPr>
            <w:r w:rsidRPr="000C0704">
              <w:rPr>
                <w:rFonts w:ascii="Verdana" w:hAnsi="Verdana"/>
                <w:sz w:val="18"/>
                <w:szCs w:val="18"/>
              </w:rPr>
              <w:t>1.4.2</w:t>
            </w:r>
          </w:p>
        </w:tc>
        <w:tc>
          <w:tcPr>
            <w:tcW w:w="9214"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57FDFE33" w14:textId="77777777" w:rsidR="004D6282" w:rsidRPr="000C0704" w:rsidRDefault="004D6282" w:rsidP="00667D26">
            <w:pPr>
              <w:rPr>
                <w:rFonts w:ascii="Verdana" w:hAnsi="Verdana"/>
                <w:color w:val="000000" w:themeColor="text1"/>
                <w:sz w:val="18"/>
                <w:szCs w:val="18"/>
              </w:rPr>
            </w:pPr>
            <w:r w:rsidRPr="000C0704">
              <w:rPr>
                <w:rFonts w:ascii="Verdana" w:hAnsi="Verdana"/>
                <w:color w:val="000000" w:themeColor="text1"/>
                <w:sz w:val="18"/>
                <w:szCs w:val="18"/>
              </w:rPr>
              <w:t>The MT shall:</w:t>
            </w:r>
          </w:p>
          <w:p w14:paraId="55257371" w14:textId="66BF3875" w:rsidR="00B32FB3" w:rsidRDefault="00B86A94" w:rsidP="00667D26">
            <w:pPr>
              <w:numPr>
                <w:ilvl w:val="0"/>
                <w:numId w:val="1"/>
              </w:numPr>
              <w:rPr>
                <w:rFonts w:ascii="Verdana" w:hAnsi="Verdana"/>
                <w:color w:val="000000" w:themeColor="text1"/>
                <w:sz w:val="18"/>
                <w:szCs w:val="18"/>
              </w:rPr>
            </w:pPr>
            <w:r>
              <w:rPr>
                <w:rFonts w:ascii="Verdana" w:hAnsi="Verdana"/>
                <w:color w:val="000000" w:themeColor="text1"/>
                <w:sz w:val="18"/>
                <w:szCs w:val="18"/>
              </w:rPr>
              <w:t>f</w:t>
            </w:r>
            <w:r w:rsidR="004D6282" w:rsidRPr="000C0704">
              <w:rPr>
                <w:rFonts w:ascii="Verdana" w:hAnsi="Verdana"/>
                <w:color w:val="000000" w:themeColor="text1"/>
                <w:sz w:val="18"/>
                <w:szCs w:val="18"/>
              </w:rPr>
              <w:t xml:space="preserve">orward </w:t>
            </w:r>
            <w:r w:rsidR="000735E9">
              <w:rPr>
                <w:rFonts w:ascii="Verdana" w:hAnsi="Verdana"/>
                <w:color w:val="000000" w:themeColor="text1"/>
                <w:sz w:val="18"/>
                <w:szCs w:val="18"/>
              </w:rPr>
              <w:t xml:space="preserve">slot </w:t>
            </w:r>
            <w:r w:rsidR="004D6282" w:rsidRPr="000C0704">
              <w:rPr>
                <w:rFonts w:ascii="Verdana" w:hAnsi="Verdana"/>
                <w:color w:val="000000" w:themeColor="text1"/>
                <w:sz w:val="18"/>
                <w:szCs w:val="18"/>
              </w:rPr>
              <w:t>requests to IAG and the Commission (</w:t>
            </w:r>
            <w:r w:rsidR="00B32FB3">
              <w:rPr>
                <w:rFonts w:ascii="Verdana" w:hAnsi="Verdana"/>
                <w:color w:val="000000" w:themeColor="text1"/>
                <w:sz w:val="18"/>
                <w:szCs w:val="18"/>
              </w:rPr>
              <w:t xml:space="preserve">NB: the </w:t>
            </w:r>
            <w:r w:rsidR="004D6282" w:rsidRPr="000C0704">
              <w:rPr>
                <w:rFonts w:ascii="Verdana" w:hAnsi="Verdana"/>
                <w:color w:val="000000" w:themeColor="text1"/>
                <w:sz w:val="18"/>
                <w:szCs w:val="18"/>
              </w:rPr>
              <w:t xml:space="preserve">MT may </w:t>
            </w:r>
            <w:r w:rsidR="004D6282" w:rsidRPr="00AE7BC0">
              <w:rPr>
                <w:rFonts w:ascii="Verdana" w:hAnsi="Verdana"/>
                <w:b/>
                <w:bCs/>
                <w:color w:val="000000" w:themeColor="text1"/>
                <w:sz w:val="18"/>
                <w:szCs w:val="18"/>
              </w:rPr>
              <w:t>not</w:t>
            </w:r>
            <w:r w:rsidR="004D6282" w:rsidRPr="000C0704">
              <w:rPr>
                <w:rFonts w:ascii="Verdana" w:hAnsi="Verdana"/>
                <w:color w:val="000000" w:themeColor="text1"/>
                <w:sz w:val="18"/>
                <w:szCs w:val="18"/>
              </w:rPr>
              <w:t xml:space="preserve"> disclose </w:t>
            </w:r>
            <w:r w:rsidR="00B32FB3">
              <w:rPr>
                <w:rFonts w:ascii="Verdana" w:hAnsi="Verdana"/>
                <w:color w:val="000000" w:themeColor="text1"/>
                <w:sz w:val="18"/>
                <w:szCs w:val="18"/>
              </w:rPr>
              <w:t xml:space="preserve">to IAG </w:t>
            </w:r>
            <w:r w:rsidR="004D6282" w:rsidRPr="000C0704">
              <w:rPr>
                <w:rFonts w:ascii="Verdana" w:hAnsi="Verdana"/>
                <w:color w:val="000000" w:themeColor="text1"/>
                <w:sz w:val="18"/>
                <w:szCs w:val="18"/>
              </w:rPr>
              <w:t xml:space="preserve">the Relevant City Pair for which the </w:t>
            </w:r>
            <w:r w:rsidR="00AE7BC0">
              <w:rPr>
                <w:rFonts w:ascii="Verdana" w:hAnsi="Verdana"/>
                <w:color w:val="000000" w:themeColor="text1"/>
                <w:sz w:val="18"/>
                <w:szCs w:val="18"/>
              </w:rPr>
              <w:t>s</w:t>
            </w:r>
            <w:r w:rsidR="004D6282" w:rsidRPr="000C0704">
              <w:rPr>
                <w:rFonts w:ascii="Verdana" w:hAnsi="Verdana"/>
                <w:color w:val="000000" w:themeColor="text1"/>
                <w:sz w:val="18"/>
                <w:szCs w:val="18"/>
              </w:rPr>
              <w:t xml:space="preserve">lot is requested until the start of </w:t>
            </w:r>
            <w:r w:rsidR="00AE7BC0">
              <w:rPr>
                <w:rFonts w:ascii="Verdana" w:hAnsi="Verdana"/>
                <w:color w:val="000000" w:themeColor="text1"/>
                <w:sz w:val="18"/>
                <w:szCs w:val="18"/>
              </w:rPr>
              <w:t xml:space="preserve">slot conference, </w:t>
            </w:r>
            <w:r w:rsidR="004D6282" w:rsidRPr="000C0704">
              <w:rPr>
                <w:rFonts w:ascii="Verdana" w:hAnsi="Verdana"/>
                <w:color w:val="000000" w:themeColor="text1"/>
                <w:sz w:val="18"/>
                <w:szCs w:val="18"/>
              </w:rPr>
              <w:t>i.</w:t>
            </w:r>
            <w:r w:rsidR="004D6282" w:rsidRPr="0004598A">
              <w:rPr>
                <w:rFonts w:ascii="Verdana" w:hAnsi="Verdana"/>
                <w:color w:val="000000" w:themeColor="text1"/>
                <w:sz w:val="18"/>
                <w:szCs w:val="18"/>
              </w:rPr>
              <w:t xml:space="preserve">e. </w:t>
            </w:r>
            <w:r w:rsidR="00EB7717">
              <w:rPr>
                <w:rFonts w:ascii="Verdana" w:hAnsi="Verdana"/>
                <w:sz w:val="18"/>
                <w:szCs w:val="18"/>
              </w:rPr>
              <w:t>13</w:t>
            </w:r>
            <w:r w:rsidR="004D6282">
              <w:rPr>
                <w:rFonts w:ascii="Verdana" w:hAnsi="Verdana"/>
                <w:sz w:val="18"/>
                <w:szCs w:val="18"/>
              </w:rPr>
              <w:t xml:space="preserve"> June 202</w:t>
            </w:r>
            <w:r w:rsidR="00EB7717">
              <w:rPr>
                <w:rFonts w:ascii="Verdana" w:hAnsi="Verdana"/>
                <w:sz w:val="18"/>
                <w:szCs w:val="18"/>
              </w:rPr>
              <w:t>3</w:t>
            </w:r>
            <w:r w:rsidR="004D6282" w:rsidRPr="0004598A">
              <w:rPr>
                <w:rFonts w:ascii="Verdana" w:hAnsi="Verdana"/>
                <w:color w:val="000000" w:themeColor="text1"/>
                <w:sz w:val="18"/>
                <w:szCs w:val="18"/>
              </w:rPr>
              <w:t>)</w:t>
            </w:r>
            <w:r w:rsidR="001A7AB3">
              <w:rPr>
                <w:rFonts w:ascii="Verdana" w:hAnsi="Verdana"/>
                <w:color w:val="000000" w:themeColor="text1"/>
                <w:sz w:val="18"/>
                <w:szCs w:val="18"/>
              </w:rPr>
              <w:t>.</w:t>
            </w:r>
          </w:p>
          <w:p w14:paraId="30B0D077" w14:textId="3535118A" w:rsidR="00B32FB3" w:rsidRPr="00B32FB3" w:rsidRDefault="00B32FB3" w:rsidP="003C5C3B">
            <w:pPr>
              <w:numPr>
                <w:ilvl w:val="0"/>
                <w:numId w:val="1"/>
              </w:numPr>
              <w:rPr>
                <w:rFonts w:ascii="Verdana" w:hAnsi="Verdana"/>
                <w:color w:val="000000" w:themeColor="text1"/>
                <w:sz w:val="18"/>
                <w:szCs w:val="18"/>
              </w:rPr>
            </w:pPr>
            <w:r w:rsidRPr="00B32FB3">
              <w:rPr>
                <w:rFonts w:ascii="Verdana" w:hAnsi="Verdana"/>
                <w:color w:val="000000" w:themeColor="text1"/>
                <w:sz w:val="18"/>
                <w:szCs w:val="18"/>
              </w:rPr>
              <w:t>inform Heathrow Airport Limited (HAL) and Airport Coordination Limited (ACL) of the Slot request and inquire into issues relating to the slot request, e.g. availability of terminal facilities, capacity and infrastructure.</w:t>
            </w:r>
            <w:r>
              <w:rPr>
                <w:rFonts w:ascii="Verdana" w:hAnsi="Verdana"/>
                <w:color w:val="000000" w:themeColor="text1"/>
                <w:sz w:val="18"/>
                <w:szCs w:val="18"/>
              </w:rPr>
              <w:t xml:space="preserve"> </w:t>
            </w:r>
          </w:p>
          <w:p w14:paraId="57FDFE36" w14:textId="4FEEB56C" w:rsidR="004D6282" w:rsidRPr="000C0704" w:rsidRDefault="00B32FB3" w:rsidP="00A164C4">
            <w:pPr>
              <w:rPr>
                <w:rFonts w:ascii="Verdana" w:hAnsi="Verdana"/>
                <w:color w:val="000000" w:themeColor="text1"/>
                <w:sz w:val="18"/>
                <w:szCs w:val="18"/>
              </w:rPr>
            </w:pPr>
            <w:r>
              <w:rPr>
                <w:rFonts w:ascii="Verdana" w:hAnsi="Verdana"/>
                <w:color w:val="000000" w:themeColor="text1"/>
                <w:sz w:val="18"/>
                <w:szCs w:val="18"/>
              </w:rPr>
              <w:t xml:space="preserve">IAG </w:t>
            </w:r>
            <w:r w:rsidR="004D6282" w:rsidRPr="000C0704">
              <w:rPr>
                <w:rFonts w:ascii="Verdana" w:hAnsi="Verdana"/>
                <w:color w:val="000000" w:themeColor="text1"/>
                <w:sz w:val="18"/>
                <w:szCs w:val="18"/>
              </w:rPr>
              <w:t xml:space="preserve">and Applicants may hold limited discussions on slot timing and types of compensation to establish key terms of a Slot Release Agreement. </w:t>
            </w:r>
            <w:r w:rsidR="004D6282">
              <w:rPr>
                <w:rFonts w:ascii="Verdana" w:hAnsi="Verdana"/>
                <w:color w:val="000000" w:themeColor="text1"/>
                <w:sz w:val="18"/>
                <w:szCs w:val="18"/>
              </w:rPr>
              <w:t>M</w:t>
            </w:r>
            <w:r w:rsidR="004D6282" w:rsidRPr="000C0704">
              <w:rPr>
                <w:rFonts w:ascii="Verdana" w:hAnsi="Verdana"/>
                <w:color w:val="000000" w:themeColor="text1"/>
                <w:sz w:val="18"/>
                <w:szCs w:val="18"/>
              </w:rPr>
              <w:t>T must be involved in all such discussions.</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tcPr>
          <w:p w14:paraId="57FDFE37" w14:textId="50E5CD26" w:rsidR="004D6282" w:rsidRPr="00C37D90" w:rsidRDefault="004D6282" w:rsidP="00667D26">
            <w:pPr>
              <w:jc w:val="center"/>
              <w:rPr>
                <w:rFonts w:ascii="Verdana" w:hAnsi="Verdana"/>
                <w:sz w:val="18"/>
                <w:szCs w:val="18"/>
              </w:rPr>
            </w:pPr>
            <w:r>
              <w:rPr>
                <w:rFonts w:ascii="Verdana" w:hAnsi="Verdana"/>
                <w:sz w:val="18"/>
                <w:szCs w:val="18"/>
              </w:rPr>
              <w:t>1</w:t>
            </w:r>
            <w:r w:rsidR="00A41EA9">
              <w:rPr>
                <w:rFonts w:ascii="Verdana" w:hAnsi="Verdana"/>
                <w:sz w:val="18"/>
                <w:szCs w:val="18"/>
              </w:rPr>
              <w:t>3</w:t>
            </w:r>
          </w:p>
        </w:tc>
      </w:tr>
      <w:tr w:rsidR="003C5C3B" w:rsidRPr="000C0704" w14:paraId="57FDFE40" w14:textId="77777777" w:rsidTr="008305E8">
        <w:trPr>
          <w:trHeight w:val="588"/>
        </w:trPr>
        <w:tc>
          <w:tcPr>
            <w:tcW w:w="983" w:type="dxa"/>
            <w:vMerge/>
            <w:tcBorders>
              <w:top w:val="single" w:sz="8" w:space="0" w:color="000000"/>
              <w:left w:val="single" w:sz="8" w:space="0" w:color="000000"/>
              <w:bottom w:val="single" w:sz="8" w:space="0" w:color="000000"/>
              <w:right w:val="single" w:sz="8" w:space="0" w:color="000000"/>
            </w:tcBorders>
            <w:vAlign w:val="center"/>
            <w:hideMark/>
          </w:tcPr>
          <w:p w14:paraId="57FDFE3A" w14:textId="77777777" w:rsidR="003C5C3B" w:rsidRPr="000C0704" w:rsidRDefault="003C5C3B" w:rsidP="003C5C3B">
            <w:pPr>
              <w:jc w:val="center"/>
              <w:rPr>
                <w:rFonts w:ascii="Verdana" w:hAnsi="Verdana"/>
                <w:sz w:val="18"/>
                <w:szCs w:val="18"/>
              </w:rPr>
            </w:pPr>
          </w:p>
        </w:tc>
        <w:tc>
          <w:tcPr>
            <w:tcW w:w="1417" w:type="dxa"/>
            <w:vMerge/>
            <w:tcBorders>
              <w:left w:val="single" w:sz="8" w:space="0" w:color="000000"/>
              <w:bottom w:val="single" w:sz="8" w:space="0" w:color="000000"/>
              <w:right w:val="single" w:sz="8" w:space="0" w:color="000000"/>
            </w:tcBorders>
            <w:vAlign w:val="center"/>
          </w:tcPr>
          <w:p w14:paraId="0062D7D6" w14:textId="77777777" w:rsidR="003C5C3B" w:rsidRPr="000C0704" w:rsidRDefault="003C5C3B" w:rsidP="003C5C3B">
            <w:pPr>
              <w:jc w:val="cente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57FDFE3B" w14:textId="7CC6866B" w:rsidR="003C5C3B" w:rsidRPr="000C0704" w:rsidRDefault="003C5C3B" w:rsidP="003C5C3B">
            <w:pPr>
              <w:jc w:val="center"/>
              <w:rPr>
                <w:rFonts w:ascii="Verdana" w:hAnsi="Verdana"/>
                <w:sz w:val="18"/>
                <w:szCs w:val="18"/>
              </w:rPr>
            </w:pPr>
            <w:r w:rsidRPr="000C0704">
              <w:rPr>
                <w:rFonts w:ascii="Verdana" w:hAnsi="Verdana"/>
                <w:sz w:val="18"/>
                <w:szCs w:val="18"/>
              </w:rPr>
              <w:t>1.4.3 and 1.4.1(c)</w:t>
            </w:r>
          </w:p>
        </w:tc>
        <w:tc>
          <w:tcPr>
            <w:tcW w:w="9214"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31FE8183" w14:textId="77777777" w:rsidR="003C5C3B" w:rsidRPr="003C5C3B" w:rsidRDefault="003C5C3B" w:rsidP="003C5C3B">
            <w:pPr>
              <w:rPr>
                <w:rFonts w:ascii="Verdana" w:hAnsi="Verdana"/>
                <w:sz w:val="18"/>
                <w:szCs w:val="18"/>
              </w:rPr>
            </w:pPr>
            <w:r w:rsidRPr="003C5C3B">
              <w:rPr>
                <w:rFonts w:ascii="Verdana" w:hAnsi="Verdana"/>
                <w:sz w:val="18"/>
                <w:szCs w:val="18"/>
              </w:rPr>
              <w:t xml:space="preserve">MT advises the Commission whether or not any request(s) for anonymity should be granted by reviewing the evidence provided by applicants. </w:t>
            </w:r>
          </w:p>
          <w:p w14:paraId="57FDFE3D" w14:textId="323BEA5F" w:rsidR="003C5C3B" w:rsidRPr="000C0704" w:rsidRDefault="003C5C3B" w:rsidP="003C5C3B">
            <w:pPr>
              <w:rPr>
                <w:rFonts w:ascii="Verdana" w:hAnsi="Verdana"/>
                <w:sz w:val="18"/>
                <w:szCs w:val="18"/>
              </w:rPr>
            </w:pPr>
            <w:r w:rsidRPr="003C5C3B">
              <w:rPr>
                <w:rFonts w:ascii="Verdana" w:hAnsi="Verdana"/>
                <w:sz w:val="18"/>
                <w:szCs w:val="18"/>
              </w:rPr>
              <w:t>Pending that determination, MT may not disclose the identity of the Applicant to IAG.</w:t>
            </w:r>
          </w:p>
        </w:tc>
        <w:tc>
          <w:tcPr>
            <w:tcW w:w="1417" w:type="dxa"/>
            <w:vMerge/>
            <w:tcBorders>
              <w:top w:val="single" w:sz="8" w:space="0" w:color="000000"/>
              <w:left w:val="single" w:sz="8" w:space="0" w:color="000000"/>
              <w:bottom w:val="single" w:sz="8" w:space="0" w:color="000000"/>
              <w:right w:val="single" w:sz="8" w:space="0" w:color="000000"/>
            </w:tcBorders>
            <w:vAlign w:val="center"/>
          </w:tcPr>
          <w:p w14:paraId="57FDFE3E" w14:textId="77777777" w:rsidR="003C5C3B" w:rsidRPr="00C37D90" w:rsidRDefault="003C5C3B" w:rsidP="003C5C3B">
            <w:pPr>
              <w:jc w:val="center"/>
              <w:rPr>
                <w:rFonts w:ascii="Verdana" w:hAnsi="Verdana"/>
                <w:sz w:val="18"/>
                <w:szCs w:val="18"/>
              </w:rPr>
            </w:pPr>
          </w:p>
        </w:tc>
      </w:tr>
      <w:tr w:rsidR="003C5C3B" w:rsidRPr="000C0704" w14:paraId="57FDFE4B" w14:textId="77777777" w:rsidTr="008305E8">
        <w:trPr>
          <w:trHeight w:val="320"/>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hideMark/>
          </w:tcPr>
          <w:p w14:paraId="57FDFE41" w14:textId="18CB84DA" w:rsidR="003C5C3B" w:rsidRPr="000C0704" w:rsidRDefault="003C5C3B" w:rsidP="003C5C3B">
            <w:pPr>
              <w:jc w:val="center"/>
              <w:rPr>
                <w:rFonts w:ascii="Verdana" w:hAnsi="Verdana"/>
                <w:sz w:val="18"/>
                <w:szCs w:val="18"/>
              </w:rPr>
            </w:pPr>
            <w:r w:rsidRPr="000C0704">
              <w:rPr>
                <w:rFonts w:ascii="Verdana" w:hAnsi="Verdana"/>
                <w:b/>
                <w:bCs/>
                <w:sz w:val="18"/>
                <w:szCs w:val="18"/>
              </w:rPr>
              <w:t>By x-</w:t>
            </w:r>
            <w:r>
              <w:rPr>
                <w:rFonts w:ascii="Verdana" w:hAnsi="Verdana"/>
                <w:b/>
                <w:bCs/>
                <w:sz w:val="18"/>
                <w:szCs w:val="18"/>
              </w:rPr>
              <w:t>5</w:t>
            </w:r>
          </w:p>
        </w:tc>
        <w:tc>
          <w:tcPr>
            <w:tcW w:w="1417" w:type="dxa"/>
            <w:tcBorders>
              <w:top w:val="single" w:sz="8" w:space="0" w:color="000000"/>
              <w:left w:val="single" w:sz="8" w:space="0" w:color="000000"/>
              <w:bottom w:val="single" w:sz="8" w:space="0" w:color="000000"/>
              <w:right w:val="single" w:sz="8" w:space="0" w:color="000000"/>
            </w:tcBorders>
            <w:vAlign w:val="center"/>
          </w:tcPr>
          <w:p w14:paraId="0613353B" w14:textId="5378A686" w:rsidR="003C5C3B" w:rsidRPr="000C0704" w:rsidRDefault="007353EE" w:rsidP="003C5C3B">
            <w:pPr>
              <w:jc w:val="center"/>
              <w:rPr>
                <w:rFonts w:ascii="Verdana" w:hAnsi="Verdana"/>
                <w:sz w:val="18"/>
                <w:szCs w:val="18"/>
              </w:rPr>
            </w:pPr>
            <w:r>
              <w:rPr>
                <w:rFonts w:ascii="Verdana" w:hAnsi="Verdana"/>
                <w:sz w:val="18"/>
                <w:szCs w:val="18"/>
              </w:rPr>
              <w:t>6</w:t>
            </w:r>
            <w:r w:rsidR="003C5C3B">
              <w:rPr>
                <w:rFonts w:ascii="Verdana" w:hAnsi="Verdana"/>
                <w:sz w:val="18"/>
                <w:szCs w:val="18"/>
              </w:rPr>
              <w:t xml:space="preserve"> April</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57FDFE42" w14:textId="671FB08D" w:rsidR="003C5C3B" w:rsidRPr="000C0704" w:rsidRDefault="003C5C3B" w:rsidP="003C5C3B">
            <w:pPr>
              <w:jc w:val="center"/>
              <w:rPr>
                <w:rFonts w:ascii="Verdana" w:hAnsi="Verdana"/>
                <w:sz w:val="18"/>
                <w:szCs w:val="18"/>
              </w:rPr>
            </w:pPr>
            <w:r w:rsidRPr="000C0704">
              <w:rPr>
                <w:rFonts w:ascii="Verdana" w:hAnsi="Verdana"/>
                <w:sz w:val="18"/>
                <w:szCs w:val="18"/>
              </w:rPr>
              <w:t>1.4.4</w:t>
            </w:r>
          </w:p>
        </w:tc>
        <w:tc>
          <w:tcPr>
            <w:tcW w:w="9214"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57FDFE43" w14:textId="2E99AF65" w:rsidR="003C5C3B" w:rsidRPr="000C0704" w:rsidRDefault="003C5C3B" w:rsidP="003C5C3B">
            <w:pPr>
              <w:jc w:val="left"/>
              <w:rPr>
                <w:rFonts w:ascii="Verdana" w:hAnsi="Verdana"/>
                <w:sz w:val="18"/>
                <w:szCs w:val="18"/>
              </w:rPr>
            </w:pPr>
            <w:r w:rsidRPr="000C0704">
              <w:rPr>
                <w:rFonts w:ascii="Verdana" w:hAnsi="Verdana"/>
                <w:sz w:val="18"/>
                <w:szCs w:val="18"/>
              </w:rPr>
              <w:t xml:space="preserve">In order to meet requirements of 1.4.4(a) and (b), the </w:t>
            </w:r>
            <w:r>
              <w:rPr>
                <w:rFonts w:ascii="Verdana" w:hAnsi="Verdana"/>
                <w:sz w:val="18"/>
                <w:szCs w:val="18"/>
              </w:rPr>
              <w:t>M</w:t>
            </w:r>
            <w:r w:rsidRPr="000C0704">
              <w:rPr>
                <w:rFonts w:ascii="Verdana" w:hAnsi="Verdana"/>
                <w:sz w:val="18"/>
                <w:szCs w:val="18"/>
              </w:rPr>
              <w:t>T researches and confirms that:</w:t>
            </w:r>
          </w:p>
          <w:p w14:paraId="57FDFE44" w14:textId="4FB3D882" w:rsidR="003C5C3B" w:rsidRPr="000C0704" w:rsidRDefault="003C5C3B" w:rsidP="003C5C3B">
            <w:pPr>
              <w:numPr>
                <w:ilvl w:val="0"/>
                <w:numId w:val="2"/>
              </w:numPr>
              <w:jc w:val="left"/>
              <w:rPr>
                <w:rFonts w:ascii="Verdana" w:hAnsi="Verdana"/>
                <w:sz w:val="18"/>
                <w:szCs w:val="18"/>
              </w:rPr>
            </w:pPr>
            <w:r w:rsidRPr="000C0704">
              <w:rPr>
                <w:rFonts w:ascii="Verdana" w:hAnsi="Verdana"/>
                <w:sz w:val="18"/>
                <w:szCs w:val="18"/>
              </w:rPr>
              <w:t xml:space="preserve">Applicant </w:t>
            </w:r>
            <w:r>
              <w:rPr>
                <w:rFonts w:ascii="Verdana" w:hAnsi="Verdana"/>
                <w:sz w:val="18"/>
                <w:szCs w:val="18"/>
              </w:rPr>
              <w:t xml:space="preserve">is </w:t>
            </w:r>
            <w:r w:rsidRPr="000C0704">
              <w:rPr>
                <w:rFonts w:ascii="Verdana" w:hAnsi="Verdana"/>
                <w:sz w:val="18"/>
                <w:szCs w:val="18"/>
              </w:rPr>
              <w:t xml:space="preserve">independent of IAG, and not a member of the </w:t>
            </w:r>
            <w:proofErr w:type="spellStart"/>
            <w:r w:rsidRPr="000C0704">
              <w:rPr>
                <w:rFonts w:ascii="Verdana" w:hAnsi="Verdana"/>
                <w:sz w:val="18"/>
                <w:szCs w:val="18"/>
              </w:rPr>
              <w:t>oneworld</w:t>
            </w:r>
            <w:proofErr w:type="spellEnd"/>
            <w:r w:rsidRPr="000C0704">
              <w:rPr>
                <w:rFonts w:ascii="Verdana" w:hAnsi="Verdana"/>
                <w:sz w:val="18"/>
                <w:szCs w:val="18"/>
              </w:rPr>
              <w:t xml:space="preserve"> Alliance</w:t>
            </w:r>
            <w:r>
              <w:rPr>
                <w:rFonts w:ascii="Verdana" w:hAnsi="Verdana"/>
                <w:sz w:val="18"/>
                <w:szCs w:val="18"/>
              </w:rPr>
              <w:t>.</w:t>
            </w:r>
            <w:r w:rsidRPr="000C0704">
              <w:rPr>
                <w:rFonts w:ascii="Verdana" w:hAnsi="Verdana"/>
                <w:sz w:val="18"/>
                <w:szCs w:val="18"/>
              </w:rPr>
              <w:t xml:space="preserve"> </w:t>
            </w:r>
          </w:p>
          <w:p w14:paraId="57FDFE45" w14:textId="761B73CF" w:rsidR="003C5C3B" w:rsidRDefault="003C5C3B" w:rsidP="003C5C3B">
            <w:pPr>
              <w:numPr>
                <w:ilvl w:val="0"/>
                <w:numId w:val="2"/>
              </w:numPr>
              <w:jc w:val="left"/>
              <w:rPr>
                <w:rFonts w:ascii="Verdana" w:hAnsi="Verdana"/>
                <w:sz w:val="18"/>
                <w:szCs w:val="18"/>
              </w:rPr>
            </w:pPr>
            <w:r w:rsidRPr="000C0704">
              <w:rPr>
                <w:rFonts w:ascii="Verdana" w:hAnsi="Verdana"/>
                <w:sz w:val="18"/>
                <w:szCs w:val="18"/>
              </w:rPr>
              <w:t>Applicant has exhausted its own Slot Portfolio at Heathrow</w:t>
            </w:r>
            <w:r>
              <w:rPr>
                <w:rFonts w:ascii="Verdana" w:hAnsi="Verdana"/>
                <w:sz w:val="18"/>
                <w:szCs w:val="18"/>
              </w:rPr>
              <w:t>.</w:t>
            </w:r>
          </w:p>
          <w:p w14:paraId="1636CF1A" w14:textId="77777777" w:rsidR="003C5C3B" w:rsidRPr="000C0704" w:rsidRDefault="003C5C3B" w:rsidP="003C5C3B">
            <w:pPr>
              <w:ind w:left="360"/>
              <w:jc w:val="left"/>
              <w:rPr>
                <w:rFonts w:ascii="Verdana" w:hAnsi="Verdana"/>
                <w:sz w:val="18"/>
                <w:szCs w:val="18"/>
              </w:rPr>
            </w:pPr>
          </w:p>
          <w:p w14:paraId="57FDFE46" w14:textId="5F94B7B1" w:rsidR="003C5C3B" w:rsidRPr="000C0704" w:rsidRDefault="003C5C3B" w:rsidP="003C5C3B">
            <w:pPr>
              <w:jc w:val="left"/>
              <w:rPr>
                <w:rFonts w:ascii="Verdana" w:hAnsi="Verdana"/>
                <w:sz w:val="18"/>
                <w:szCs w:val="18"/>
              </w:rPr>
            </w:pPr>
            <w:r w:rsidRPr="000C0704">
              <w:rPr>
                <w:rFonts w:ascii="Verdana" w:hAnsi="Verdana"/>
                <w:sz w:val="18"/>
                <w:szCs w:val="18"/>
              </w:rPr>
              <w:t>Method</w:t>
            </w:r>
            <w:r>
              <w:rPr>
                <w:rFonts w:ascii="Verdana" w:hAnsi="Verdana"/>
                <w:sz w:val="18"/>
                <w:szCs w:val="18"/>
              </w:rPr>
              <w:t>s</w:t>
            </w:r>
            <w:r w:rsidRPr="000C0704">
              <w:rPr>
                <w:rFonts w:ascii="Verdana" w:hAnsi="Verdana"/>
                <w:sz w:val="18"/>
                <w:szCs w:val="18"/>
              </w:rPr>
              <w:t xml:space="preserve"> include:</w:t>
            </w:r>
          </w:p>
          <w:p w14:paraId="57FDFE47" w14:textId="1502B731" w:rsidR="003C5C3B" w:rsidRPr="000C0704" w:rsidRDefault="003C5C3B" w:rsidP="003C5C3B">
            <w:pPr>
              <w:numPr>
                <w:ilvl w:val="0"/>
                <w:numId w:val="3"/>
              </w:numPr>
              <w:jc w:val="left"/>
              <w:rPr>
                <w:rFonts w:ascii="Verdana" w:hAnsi="Verdana"/>
                <w:sz w:val="18"/>
                <w:szCs w:val="18"/>
              </w:rPr>
            </w:pPr>
            <w:r w:rsidRPr="000C0704">
              <w:rPr>
                <w:rFonts w:ascii="Verdana" w:hAnsi="Verdana"/>
                <w:sz w:val="18"/>
                <w:szCs w:val="18"/>
              </w:rPr>
              <w:lastRenderedPageBreak/>
              <w:t>Assessment of any financial or other agreement by the Applicant (whether it has any code sharing, partnership, revenue sharing or any other agreement with IAG)</w:t>
            </w:r>
            <w:r>
              <w:rPr>
                <w:rFonts w:ascii="Verdana" w:hAnsi="Verdana"/>
                <w:sz w:val="18"/>
                <w:szCs w:val="18"/>
              </w:rPr>
              <w:t>.</w:t>
            </w:r>
          </w:p>
          <w:p w14:paraId="57FDFE48" w14:textId="195FF601" w:rsidR="003C5C3B" w:rsidRPr="000C0704" w:rsidRDefault="003C5C3B" w:rsidP="003C5C3B">
            <w:pPr>
              <w:numPr>
                <w:ilvl w:val="0"/>
                <w:numId w:val="3"/>
              </w:numPr>
              <w:jc w:val="left"/>
              <w:rPr>
                <w:rFonts w:ascii="Verdana" w:hAnsi="Verdana"/>
                <w:sz w:val="18"/>
                <w:szCs w:val="18"/>
              </w:rPr>
            </w:pPr>
            <w:r w:rsidRPr="003C5C3B">
              <w:rPr>
                <w:rFonts w:ascii="Verdana" w:hAnsi="Verdana"/>
                <w:sz w:val="18"/>
                <w:szCs w:val="18"/>
              </w:rPr>
              <w:t>Analysis of data supplied by the Applicant and ACL to ensure the requirements of Clause 1.2 are fulfilled.</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tcPr>
          <w:p w14:paraId="57FDFE49" w14:textId="508E0229" w:rsidR="003C5C3B" w:rsidRPr="00C37D90" w:rsidRDefault="003C5C3B" w:rsidP="003C5C3B">
            <w:pPr>
              <w:jc w:val="center"/>
              <w:rPr>
                <w:rFonts w:ascii="Verdana" w:hAnsi="Verdana"/>
                <w:sz w:val="18"/>
                <w:szCs w:val="18"/>
              </w:rPr>
            </w:pPr>
            <w:r>
              <w:rPr>
                <w:rFonts w:ascii="Verdana" w:hAnsi="Verdana"/>
                <w:sz w:val="18"/>
                <w:szCs w:val="18"/>
              </w:rPr>
              <w:lastRenderedPageBreak/>
              <w:t>1</w:t>
            </w:r>
            <w:r w:rsidR="00A41EA9">
              <w:rPr>
                <w:rFonts w:ascii="Verdana" w:hAnsi="Verdana"/>
                <w:sz w:val="18"/>
                <w:szCs w:val="18"/>
              </w:rPr>
              <w:t>4</w:t>
            </w:r>
          </w:p>
        </w:tc>
      </w:tr>
      <w:tr w:rsidR="003C5C3B" w:rsidRPr="000C0704" w14:paraId="57FDFE51" w14:textId="77777777" w:rsidTr="003C5C3B">
        <w:trPr>
          <w:trHeight w:val="320"/>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hideMark/>
          </w:tcPr>
          <w:p w14:paraId="57FDFE4C" w14:textId="52B44DF3" w:rsidR="003C5C3B" w:rsidRPr="000C0704" w:rsidRDefault="003C5C3B" w:rsidP="003C5C3B">
            <w:pPr>
              <w:jc w:val="center"/>
              <w:rPr>
                <w:rFonts w:ascii="Verdana" w:hAnsi="Verdana"/>
                <w:sz w:val="18"/>
                <w:szCs w:val="18"/>
              </w:rPr>
            </w:pPr>
            <w:r w:rsidRPr="000C0704">
              <w:rPr>
                <w:rFonts w:ascii="Verdana" w:hAnsi="Verdana"/>
                <w:b/>
                <w:bCs/>
                <w:sz w:val="18"/>
                <w:szCs w:val="18"/>
              </w:rPr>
              <w:t>By x-</w:t>
            </w:r>
            <w:r>
              <w:rPr>
                <w:rFonts w:ascii="Verdana" w:hAnsi="Verdana"/>
                <w:b/>
                <w:bCs/>
                <w:sz w:val="18"/>
                <w:szCs w:val="18"/>
              </w:rPr>
              <w:t>4</w:t>
            </w:r>
          </w:p>
        </w:tc>
        <w:tc>
          <w:tcPr>
            <w:tcW w:w="1417" w:type="dxa"/>
            <w:tcBorders>
              <w:top w:val="single" w:sz="8" w:space="0" w:color="000000"/>
              <w:left w:val="single" w:sz="8" w:space="0" w:color="000000"/>
              <w:bottom w:val="single" w:sz="8" w:space="0" w:color="000000"/>
              <w:right w:val="single" w:sz="8" w:space="0" w:color="000000"/>
            </w:tcBorders>
            <w:vAlign w:val="center"/>
          </w:tcPr>
          <w:p w14:paraId="38A6ABB9" w14:textId="56BA219B" w:rsidR="003C5C3B" w:rsidRPr="000C0704" w:rsidRDefault="007353EE" w:rsidP="003C5C3B">
            <w:pPr>
              <w:jc w:val="center"/>
              <w:rPr>
                <w:rFonts w:ascii="Verdana" w:hAnsi="Verdana"/>
                <w:sz w:val="18"/>
                <w:szCs w:val="18"/>
              </w:rPr>
            </w:pPr>
            <w:r>
              <w:rPr>
                <w:rFonts w:ascii="Verdana" w:hAnsi="Verdana"/>
                <w:sz w:val="18"/>
                <w:szCs w:val="18"/>
              </w:rPr>
              <w:t>13</w:t>
            </w:r>
            <w:r w:rsidR="003C5C3B">
              <w:rPr>
                <w:rFonts w:ascii="Verdana" w:hAnsi="Verdana"/>
                <w:sz w:val="18"/>
                <w:szCs w:val="18"/>
              </w:rPr>
              <w:t xml:space="preserve"> April</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hideMark/>
          </w:tcPr>
          <w:p w14:paraId="57FDFE4D" w14:textId="45C510D3" w:rsidR="003C5C3B" w:rsidRPr="000C0704" w:rsidRDefault="003C5C3B" w:rsidP="003C5C3B">
            <w:pPr>
              <w:jc w:val="center"/>
              <w:rPr>
                <w:rFonts w:ascii="Verdana" w:hAnsi="Verdana"/>
                <w:sz w:val="18"/>
                <w:szCs w:val="18"/>
              </w:rPr>
            </w:pPr>
            <w:r w:rsidRPr="000C0704">
              <w:rPr>
                <w:rFonts w:ascii="Verdana" w:hAnsi="Verdana"/>
                <w:sz w:val="18"/>
                <w:szCs w:val="18"/>
              </w:rPr>
              <w:t>1.4.1(c)</w:t>
            </w:r>
          </w:p>
        </w:tc>
        <w:tc>
          <w:tcPr>
            <w:tcW w:w="9214"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tcPr>
          <w:p w14:paraId="57FDFE4E" w14:textId="116D4E3F" w:rsidR="003C5C3B" w:rsidRPr="000C0704" w:rsidRDefault="003C5C3B" w:rsidP="003C5C3B">
            <w:pPr>
              <w:jc w:val="left"/>
              <w:rPr>
                <w:rFonts w:ascii="Verdana" w:hAnsi="Verdana"/>
                <w:sz w:val="18"/>
                <w:szCs w:val="18"/>
              </w:rPr>
            </w:pPr>
            <w:r w:rsidRPr="00B32FB3">
              <w:rPr>
                <w:rFonts w:ascii="Verdana" w:hAnsi="Verdana"/>
                <w:sz w:val="18"/>
                <w:szCs w:val="18"/>
              </w:rPr>
              <w:t>Commission makes its determination as to anonymity request(s).  Determination may be made subject to conditions.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tcPr>
          <w:p w14:paraId="57FDFE4F" w14:textId="3DA82A53" w:rsidR="003C5C3B" w:rsidRPr="00C37D90" w:rsidRDefault="003C5C3B" w:rsidP="003C5C3B">
            <w:pPr>
              <w:jc w:val="center"/>
              <w:rPr>
                <w:rFonts w:ascii="Verdana" w:hAnsi="Verdana"/>
                <w:sz w:val="18"/>
                <w:szCs w:val="18"/>
              </w:rPr>
            </w:pPr>
            <w:r>
              <w:rPr>
                <w:rFonts w:ascii="Verdana" w:hAnsi="Verdana"/>
                <w:sz w:val="18"/>
                <w:szCs w:val="18"/>
              </w:rPr>
              <w:t>1</w:t>
            </w:r>
            <w:r w:rsidR="00A41EA9">
              <w:rPr>
                <w:rFonts w:ascii="Verdana" w:hAnsi="Verdana"/>
                <w:sz w:val="18"/>
                <w:szCs w:val="18"/>
              </w:rPr>
              <w:t>5</w:t>
            </w:r>
          </w:p>
        </w:tc>
      </w:tr>
      <w:tr w:rsidR="003C5C3B" w:rsidRPr="000C0704" w14:paraId="57FDFE57" w14:textId="77777777" w:rsidTr="003C5C3B">
        <w:trPr>
          <w:trHeight w:val="320"/>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hideMark/>
          </w:tcPr>
          <w:p w14:paraId="57FDFE52" w14:textId="6A1F4A4D" w:rsidR="003C5C3B" w:rsidRPr="000C0704" w:rsidRDefault="003C5C3B" w:rsidP="003C5C3B">
            <w:pPr>
              <w:jc w:val="center"/>
              <w:rPr>
                <w:rFonts w:ascii="Verdana" w:hAnsi="Verdana"/>
                <w:sz w:val="18"/>
                <w:szCs w:val="18"/>
              </w:rPr>
            </w:pPr>
            <w:r w:rsidRPr="000C0704">
              <w:rPr>
                <w:rFonts w:ascii="Verdana" w:hAnsi="Verdana"/>
                <w:b/>
                <w:bCs/>
                <w:sz w:val="18"/>
                <w:szCs w:val="18"/>
              </w:rPr>
              <w:t>By x-</w:t>
            </w:r>
            <w:r>
              <w:rPr>
                <w:rFonts w:ascii="Verdana" w:hAnsi="Verdana"/>
                <w:b/>
                <w:bCs/>
                <w:sz w:val="18"/>
                <w:szCs w:val="18"/>
              </w:rPr>
              <w:t>2</w:t>
            </w:r>
          </w:p>
        </w:tc>
        <w:tc>
          <w:tcPr>
            <w:tcW w:w="1417" w:type="dxa"/>
            <w:tcBorders>
              <w:top w:val="single" w:sz="8" w:space="0" w:color="000000"/>
              <w:left w:val="single" w:sz="8" w:space="0" w:color="000000"/>
              <w:bottom w:val="single" w:sz="8" w:space="0" w:color="000000"/>
              <w:right w:val="single" w:sz="8" w:space="0" w:color="000000"/>
            </w:tcBorders>
            <w:vAlign w:val="center"/>
          </w:tcPr>
          <w:p w14:paraId="1FAAAFC1" w14:textId="1656858D" w:rsidR="003C5C3B" w:rsidRPr="000C0704" w:rsidRDefault="007353EE" w:rsidP="003C5C3B">
            <w:pPr>
              <w:jc w:val="center"/>
              <w:rPr>
                <w:rFonts w:ascii="Verdana" w:hAnsi="Verdana"/>
                <w:sz w:val="18"/>
                <w:szCs w:val="18"/>
              </w:rPr>
            </w:pPr>
            <w:r>
              <w:rPr>
                <w:rFonts w:ascii="Verdana" w:hAnsi="Verdana"/>
                <w:sz w:val="18"/>
                <w:szCs w:val="18"/>
              </w:rPr>
              <w:t>27 April</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57FDFE53" w14:textId="78AA863C" w:rsidR="003C5C3B" w:rsidRPr="000C0704" w:rsidRDefault="003C5C3B" w:rsidP="003C5C3B">
            <w:pPr>
              <w:jc w:val="center"/>
              <w:rPr>
                <w:rFonts w:ascii="Verdana" w:hAnsi="Verdana"/>
                <w:sz w:val="18"/>
                <w:szCs w:val="18"/>
              </w:rPr>
            </w:pPr>
            <w:r w:rsidRPr="000C0704">
              <w:rPr>
                <w:rFonts w:ascii="Verdana" w:hAnsi="Verdana"/>
                <w:sz w:val="18"/>
                <w:szCs w:val="18"/>
              </w:rPr>
              <w:t>1.4.4</w:t>
            </w:r>
          </w:p>
        </w:tc>
        <w:tc>
          <w:tcPr>
            <w:tcW w:w="9214"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tcPr>
          <w:p w14:paraId="57FDFE54" w14:textId="295F7E1C" w:rsidR="003C5C3B" w:rsidRPr="000C0704" w:rsidRDefault="003C5C3B" w:rsidP="003C5C3B">
            <w:pPr>
              <w:jc w:val="left"/>
              <w:rPr>
                <w:rFonts w:ascii="Verdana" w:hAnsi="Verdana"/>
                <w:sz w:val="18"/>
                <w:szCs w:val="18"/>
              </w:rPr>
            </w:pPr>
            <w:r w:rsidRPr="003C5C3B">
              <w:rPr>
                <w:rFonts w:ascii="Verdana" w:hAnsi="Verdana"/>
                <w:sz w:val="18"/>
                <w:szCs w:val="18"/>
              </w:rPr>
              <w:t>Commission advises Applicant if rejected on the basis of ineligibility.  IAG, ACL and HAL informed of the outcome.</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tcPr>
          <w:p w14:paraId="57FDFE55" w14:textId="20DDF7A4" w:rsidR="003C5C3B" w:rsidRPr="00C37D90" w:rsidRDefault="003C5C3B" w:rsidP="003C5C3B">
            <w:pPr>
              <w:jc w:val="center"/>
              <w:rPr>
                <w:rFonts w:ascii="Verdana" w:hAnsi="Verdana"/>
                <w:sz w:val="18"/>
                <w:szCs w:val="18"/>
              </w:rPr>
            </w:pPr>
            <w:r>
              <w:rPr>
                <w:rFonts w:ascii="Verdana" w:hAnsi="Verdana"/>
                <w:sz w:val="18"/>
                <w:szCs w:val="18"/>
              </w:rPr>
              <w:t>1</w:t>
            </w:r>
            <w:r w:rsidR="00A41EA9">
              <w:rPr>
                <w:rFonts w:ascii="Verdana" w:hAnsi="Verdana"/>
                <w:sz w:val="18"/>
                <w:szCs w:val="18"/>
              </w:rPr>
              <w:t>7</w:t>
            </w:r>
          </w:p>
        </w:tc>
      </w:tr>
      <w:tr w:rsidR="003C5C3B" w:rsidRPr="000C0704" w14:paraId="57FDFE5D" w14:textId="77777777" w:rsidTr="003C5C3B">
        <w:trPr>
          <w:trHeight w:val="319"/>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hideMark/>
          </w:tcPr>
          <w:p w14:paraId="57FDFE58" w14:textId="4D7262CF" w:rsidR="003C5C3B" w:rsidRPr="000C0704" w:rsidRDefault="003C5C3B" w:rsidP="003C5C3B">
            <w:pPr>
              <w:jc w:val="center"/>
              <w:rPr>
                <w:rFonts w:ascii="Verdana" w:hAnsi="Verdana"/>
                <w:sz w:val="18"/>
                <w:szCs w:val="18"/>
              </w:rPr>
            </w:pPr>
            <w:r w:rsidRPr="000C0704">
              <w:rPr>
                <w:rFonts w:ascii="Verdana" w:hAnsi="Verdana"/>
                <w:b/>
                <w:bCs/>
                <w:sz w:val="18"/>
                <w:szCs w:val="18"/>
              </w:rPr>
              <w:t>By x-1</w:t>
            </w:r>
          </w:p>
        </w:tc>
        <w:tc>
          <w:tcPr>
            <w:tcW w:w="1417" w:type="dxa"/>
            <w:tcBorders>
              <w:top w:val="single" w:sz="8" w:space="0" w:color="000000"/>
              <w:left w:val="single" w:sz="8" w:space="0" w:color="000000"/>
              <w:bottom w:val="single" w:sz="4" w:space="0" w:color="auto"/>
              <w:right w:val="single" w:sz="8" w:space="0" w:color="000000"/>
            </w:tcBorders>
            <w:vAlign w:val="center"/>
          </w:tcPr>
          <w:p w14:paraId="73E838B2" w14:textId="55BF7C60" w:rsidR="003C5C3B" w:rsidRPr="000C0704" w:rsidRDefault="007353EE" w:rsidP="003C5C3B">
            <w:pPr>
              <w:jc w:val="center"/>
              <w:rPr>
                <w:rFonts w:ascii="Verdana" w:hAnsi="Verdana"/>
                <w:sz w:val="18"/>
                <w:szCs w:val="18"/>
              </w:rPr>
            </w:pPr>
            <w:r>
              <w:rPr>
                <w:rFonts w:ascii="Verdana" w:hAnsi="Verdana"/>
                <w:sz w:val="18"/>
                <w:szCs w:val="18"/>
              </w:rPr>
              <w:t>4</w:t>
            </w:r>
            <w:r w:rsidR="003C5C3B">
              <w:rPr>
                <w:rFonts w:ascii="Verdana" w:hAnsi="Verdana"/>
                <w:sz w:val="18"/>
                <w:szCs w:val="18"/>
              </w:rPr>
              <w:t xml:space="preserve"> May</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57FDFE59" w14:textId="40ECB511" w:rsidR="003C5C3B" w:rsidRPr="000C0704" w:rsidRDefault="003C5C3B" w:rsidP="003C5C3B">
            <w:pPr>
              <w:jc w:val="center"/>
              <w:rPr>
                <w:rFonts w:ascii="Verdana" w:hAnsi="Verdana"/>
                <w:sz w:val="18"/>
                <w:szCs w:val="18"/>
              </w:rPr>
            </w:pPr>
            <w:r w:rsidRPr="000C0704">
              <w:rPr>
                <w:rFonts w:ascii="Verdana" w:hAnsi="Verdana"/>
                <w:sz w:val="18"/>
                <w:szCs w:val="18"/>
              </w:rPr>
              <w:t>1.4.5</w:t>
            </w:r>
          </w:p>
        </w:tc>
        <w:tc>
          <w:tcPr>
            <w:tcW w:w="9214"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tcPr>
          <w:p w14:paraId="57FDFE5A" w14:textId="4F75CCFD" w:rsidR="003C5C3B" w:rsidRPr="000C0704" w:rsidRDefault="003C5C3B" w:rsidP="003C5C3B">
            <w:pPr>
              <w:jc w:val="left"/>
              <w:rPr>
                <w:rFonts w:ascii="Verdana" w:hAnsi="Verdana"/>
                <w:sz w:val="18"/>
                <w:szCs w:val="18"/>
              </w:rPr>
            </w:pPr>
            <w:r w:rsidRPr="003C5C3B">
              <w:rPr>
                <w:rFonts w:ascii="Verdana" w:hAnsi="Verdana"/>
                <w:sz w:val="18"/>
                <w:szCs w:val="18"/>
              </w:rPr>
              <w:t>IAG informs MT and Applicants which slots it would release to successful Applicant(s).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tcPr>
          <w:p w14:paraId="57FDFE5B" w14:textId="34272E2C" w:rsidR="003C5C3B" w:rsidRPr="00C37D90" w:rsidRDefault="003C5C3B" w:rsidP="003C5C3B">
            <w:pPr>
              <w:jc w:val="center"/>
              <w:rPr>
                <w:rFonts w:ascii="Verdana" w:hAnsi="Verdana"/>
                <w:sz w:val="18"/>
                <w:szCs w:val="18"/>
              </w:rPr>
            </w:pPr>
            <w:r>
              <w:rPr>
                <w:rFonts w:ascii="Verdana" w:hAnsi="Verdana"/>
                <w:sz w:val="18"/>
                <w:szCs w:val="18"/>
              </w:rPr>
              <w:t>1</w:t>
            </w:r>
            <w:r w:rsidR="00A41EA9">
              <w:rPr>
                <w:rFonts w:ascii="Verdana" w:hAnsi="Verdana"/>
                <w:sz w:val="18"/>
                <w:szCs w:val="18"/>
              </w:rPr>
              <w:t>8</w:t>
            </w:r>
          </w:p>
        </w:tc>
      </w:tr>
      <w:tr w:rsidR="003C5C3B" w:rsidRPr="000C0704" w14:paraId="57FDFE63" w14:textId="77777777" w:rsidTr="008305E8">
        <w:trPr>
          <w:trHeight w:val="272"/>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hideMark/>
          </w:tcPr>
          <w:p w14:paraId="57FDFE5E" w14:textId="38457C30" w:rsidR="003C5C3B" w:rsidRPr="000C0704" w:rsidRDefault="003C5C3B" w:rsidP="003C5C3B">
            <w:pPr>
              <w:jc w:val="center"/>
              <w:rPr>
                <w:rFonts w:ascii="Verdana" w:hAnsi="Verdana"/>
                <w:sz w:val="18"/>
                <w:szCs w:val="18"/>
              </w:rPr>
            </w:pPr>
            <w:r w:rsidRPr="00967FF1">
              <w:rPr>
                <w:rFonts w:ascii="Verdana" w:hAnsi="Verdana"/>
                <w:b/>
                <w:color w:val="000000" w:themeColor="text1"/>
                <w:sz w:val="18"/>
              </w:rPr>
              <w:t>By x</w:t>
            </w:r>
          </w:p>
        </w:tc>
        <w:tc>
          <w:tcPr>
            <w:tcW w:w="1417" w:type="dxa"/>
            <w:vMerge w:val="restart"/>
            <w:tcBorders>
              <w:top w:val="single" w:sz="4" w:space="0" w:color="auto"/>
              <w:left w:val="single" w:sz="8" w:space="0" w:color="000000"/>
              <w:right w:val="single" w:sz="8" w:space="0" w:color="000000"/>
            </w:tcBorders>
            <w:vAlign w:val="center"/>
          </w:tcPr>
          <w:p w14:paraId="28801576" w14:textId="03B6329B" w:rsidR="003C5C3B" w:rsidRPr="000C0704" w:rsidRDefault="007353EE" w:rsidP="003C5C3B">
            <w:pPr>
              <w:jc w:val="center"/>
              <w:rPr>
                <w:rFonts w:ascii="Verdana" w:hAnsi="Verdana"/>
                <w:sz w:val="18"/>
                <w:szCs w:val="18"/>
              </w:rPr>
            </w:pPr>
            <w:r>
              <w:rPr>
                <w:rFonts w:ascii="Verdana" w:hAnsi="Verdana"/>
                <w:color w:val="000000" w:themeColor="text1"/>
                <w:sz w:val="18"/>
                <w:szCs w:val="18"/>
              </w:rPr>
              <w:t>11 May</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57FDFE5F" w14:textId="53EB1E06" w:rsidR="003C5C3B" w:rsidRPr="000C0704" w:rsidRDefault="003C5C3B" w:rsidP="003C5C3B">
            <w:pPr>
              <w:jc w:val="center"/>
              <w:rPr>
                <w:rFonts w:ascii="Verdana" w:hAnsi="Verdana"/>
                <w:sz w:val="18"/>
                <w:szCs w:val="18"/>
              </w:rPr>
            </w:pPr>
            <w:r w:rsidRPr="000C0704">
              <w:rPr>
                <w:rFonts w:ascii="Verdana" w:hAnsi="Verdana"/>
                <w:sz w:val="18"/>
                <w:szCs w:val="18"/>
              </w:rPr>
              <w:t>1.4.6</w:t>
            </w:r>
          </w:p>
        </w:tc>
        <w:tc>
          <w:tcPr>
            <w:tcW w:w="9214"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57FDFE60" w14:textId="1E97148F" w:rsidR="003C5C3B" w:rsidRPr="000C0704" w:rsidRDefault="003C5C3B" w:rsidP="003C5C3B">
            <w:pPr>
              <w:jc w:val="left"/>
              <w:rPr>
                <w:rFonts w:ascii="Verdana" w:hAnsi="Verdana"/>
                <w:sz w:val="18"/>
                <w:szCs w:val="18"/>
              </w:rPr>
            </w:pPr>
            <w:r w:rsidRPr="000C0704">
              <w:rPr>
                <w:rFonts w:ascii="Verdana" w:hAnsi="Verdana"/>
                <w:sz w:val="18"/>
                <w:szCs w:val="18"/>
              </w:rPr>
              <w:t xml:space="preserve">Applicants must send </w:t>
            </w:r>
            <w:r>
              <w:rPr>
                <w:rFonts w:ascii="Verdana" w:hAnsi="Verdana"/>
                <w:sz w:val="18"/>
                <w:szCs w:val="18"/>
              </w:rPr>
              <w:t>s</w:t>
            </w:r>
            <w:r w:rsidRPr="000C0704">
              <w:rPr>
                <w:rFonts w:ascii="Verdana" w:hAnsi="Verdana"/>
                <w:sz w:val="18"/>
                <w:szCs w:val="18"/>
              </w:rPr>
              <w:t xml:space="preserve">lot requests to </w:t>
            </w:r>
            <w:r>
              <w:rPr>
                <w:rFonts w:ascii="Verdana" w:hAnsi="Verdana"/>
                <w:sz w:val="18"/>
                <w:szCs w:val="18"/>
              </w:rPr>
              <w:t>s</w:t>
            </w:r>
            <w:r w:rsidRPr="000C0704">
              <w:rPr>
                <w:rFonts w:ascii="Verdana" w:hAnsi="Verdana"/>
                <w:sz w:val="18"/>
                <w:szCs w:val="18"/>
              </w:rPr>
              <w:t xml:space="preserve">lot </w:t>
            </w:r>
            <w:r>
              <w:rPr>
                <w:rFonts w:ascii="Verdana" w:hAnsi="Verdana"/>
                <w:sz w:val="18"/>
                <w:szCs w:val="18"/>
              </w:rPr>
              <w:t>c</w:t>
            </w:r>
            <w:r w:rsidRPr="000C0704">
              <w:rPr>
                <w:rFonts w:ascii="Verdana" w:hAnsi="Verdana"/>
                <w:sz w:val="18"/>
                <w:szCs w:val="18"/>
              </w:rPr>
              <w:t>oordinators</w:t>
            </w:r>
            <w:r>
              <w:rPr>
                <w:rFonts w:ascii="Verdana" w:hAnsi="Verdana"/>
                <w:sz w:val="18"/>
                <w:szCs w:val="18"/>
              </w:rPr>
              <w:t>.</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tcPr>
          <w:p w14:paraId="57FDFE61" w14:textId="093A763A" w:rsidR="003C5C3B" w:rsidRPr="00C37D90" w:rsidRDefault="00A41EA9" w:rsidP="003C5C3B">
            <w:pPr>
              <w:jc w:val="center"/>
              <w:rPr>
                <w:rFonts w:ascii="Verdana" w:hAnsi="Verdana"/>
                <w:sz w:val="18"/>
              </w:rPr>
            </w:pPr>
            <w:r>
              <w:rPr>
                <w:rFonts w:ascii="Verdana" w:hAnsi="Verdana"/>
                <w:sz w:val="18"/>
                <w:szCs w:val="18"/>
              </w:rPr>
              <w:t>19</w:t>
            </w:r>
          </w:p>
        </w:tc>
      </w:tr>
      <w:tr w:rsidR="003C5C3B" w:rsidRPr="000C0704" w14:paraId="57FDFE6D" w14:textId="77777777" w:rsidTr="008305E8">
        <w:trPr>
          <w:trHeight w:val="1330"/>
        </w:trPr>
        <w:tc>
          <w:tcPr>
            <w:tcW w:w="983" w:type="dxa"/>
            <w:vMerge/>
            <w:tcBorders>
              <w:top w:val="single" w:sz="8" w:space="0" w:color="000000"/>
              <w:left w:val="single" w:sz="8" w:space="0" w:color="000000"/>
              <w:bottom w:val="single" w:sz="8" w:space="0" w:color="000000"/>
              <w:right w:val="single" w:sz="8" w:space="0" w:color="000000"/>
            </w:tcBorders>
            <w:vAlign w:val="center"/>
            <w:hideMark/>
          </w:tcPr>
          <w:p w14:paraId="57FDFE64" w14:textId="77777777" w:rsidR="003C5C3B" w:rsidRPr="006F31E2" w:rsidRDefault="003C5C3B" w:rsidP="003C5C3B">
            <w:pPr>
              <w:jc w:val="center"/>
              <w:rPr>
                <w:rFonts w:ascii="Verdana" w:hAnsi="Verdana"/>
                <w:sz w:val="18"/>
              </w:rPr>
            </w:pPr>
          </w:p>
        </w:tc>
        <w:tc>
          <w:tcPr>
            <w:tcW w:w="1417" w:type="dxa"/>
            <w:vMerge/>
            <w:tcBorders>
              <w:left w:val="single" w:sz="8" w:space="0" w:color="000000"/>
              <w:bottom w:val="single" w:sz="8" w:space="0" w:color="000000"/>
              <w:right w:val="single" w:sz="8" w:space="0" w:color="000000"/>
            </w:tcBorders>
            <w:vAlign w:val="center"/>
          </w:tcPr>
          <w:p w14:paraId="13E40D27" w14:textId="6733C2DC" w:rsidR="003C5C3B" w:rsidRPr="000C0704" w:rsidRDefault="003C5C3B" w:rsidP="003C5C3B">
            <w:pPr>
              <w:jc w:val="left"/>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57FDFE65" w14:textId="7DEBA5A4" w:rsidR="003C5C3B" w:rsidRPr="000C0704" w:rsidRDefault="003C5C3B" w:rsidP="003C5C3B">
            <w:pPr>
              <w:jc w:val="center"/>
              <w:rPr>
                <w:rFonts w:ascii="Verdana" w:hAnsi="Verdana"/>
                <w:sz w:val="18"/>
                <w:szCs w:val="18"/>
              </w:rPr>
            </w:pPr>
            <w:r w:rsidRPr="000C0704">
              <w:rPr>
                <w:rFonts w:ascii="Verdana" w:hAnsi="Verdana"/>
                <w:sz w:val="18"/>
                <w:szCs w:val="18"/>
              </w:rPr>
              <w:t>1.4.7 and 1.4.8</w:t>
            </w:r>
          </w:p>
        </w:tc>
        <w:tc>
          <w:tcPr>
            <w:tcW w:w="9214"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77083EC6" w14:textId="78B05098" w:rsidR="003C5C3B" w:rsidRPr="003C5C3B" w:rsidRDefault="003C5C3B" w:rsidP="003C5C3B">
            <w:pPr>
              <w:rPr>
                <w:rFonts w:ascii="Verdana" w:hAnsi="Verdana"/>
                <w:sz w:val="18"/>
                <w:szCs w:val="18"/>
              </w:rPr>
            </w:pPr>
            <w:r w:rsidRPr="003C5C3B">
              <w:rPr>
                <w:rFonts w:ascii="Verdana" w:hAnsi="Verdana"/>
                <w:sz w:val="18"/>
                <w:szCs w:val="18"/>
              </w:rPr>
              <w:t xml:space="preserve">Applicants submit formal bids to the MT.  Formal bids shall include: </w:t>
            </w:r>
          </w:p>
          <w:p w14:paraId="125D38E1" w14:textId="77777777" w:rsidR="003C5C3B" w:rsidRPr="003C5C3B" w:rsidRDefault="003C5C3B" w:rsidP="003C5C3B">
            <w:pPr>
              <w:ind w:left="360"/>
              <w:rPr>
                <w:rFonts w:ascii="Verdana" w:hAnsi="Verdana"/>
                <w:sz w:val="18"/>
                <w:szCs w:val="18"/>
              </w:rPr>
            </w:pPr>
            <w:r w:rsidRPr="003C5C3B">
              <w:rPr>
                <w:rFonts w:ascii="Verdana" w:hAnsi="Verdana"/>
                <w:sz w:val="18"/>
                <w:szCs w:val="18"/>
              </w:rPr>
              <w:t>•</w:t>
            </w:r>
            <w:r w:rsidRPr="003C5C3B">
              <w:rPr>
                <w:rFonts w:ascii="Verdana" w:hAnsi="Verdana"/>
                <w:sz w:val="18"/>
                <w:szCs w:val="18"/>
              </w:rPr>
              <w:tab/>
              <w:t xml:space="preserve">Key terms (Clause 1.4.7 (a)) </w:t>
            </w:r>
          </w:p>
          <w:p w14:paraId="4FBAE54C" w14:textId="77777777" w:rsidR="003C5C3B" w:rsidRDefault="003C5C3B" w:rsidP="003C5C3B">
            <w:pPr>
              <w:ind w:left="360"/>
              <w:rPr>
                <w:rFonts w:ascii="Verdana" w:hAnsi="Verdana"/>
                <w:sz w:val="18"/>
                <w:szCs w:val="18"/>
              </w:rPr>
            </w:pPr>
            <w:r w:rsidRPr="003C5C3B">
              <w:rPr>
                <w:rFonts w:ascii="Verdana" w:hAnsi="Verdana"/>
                <w:sz w:val="18"/>
                <w:szCs w:val="18"/>
              </w:rPr>
              <w:t>•</w:t>
            </w:r>
            <w:r w:rsidRPr="003C5C3B">
              <w:rPr>
                <w:rFonts w:ascii="Verdana" w:hAnsi="Verdana"/>
                <w:sz w:val="18"/>
                <w:szCs w:val="18"/>
              </w:rPr>
              <w:tab/>
              <w:t xml:space="preserve">Business Plan (requirements set out in Clause 1.4.7(b)) </w:t>
            </w:r>
          </w:p>
          <w:p w14:paraId="57FDFE6A" w14:textId="64C76001" w:rsidR="003C5C3B" w:rsidRPr="003C5C3B" w:rsidRDefault="003C5C3B" w:rsidP="003C5C3B">
            <w:pPr>
              <w:pStyle w:val="ListParagraph"/>
              <w:numPr>
                <w:ilvl w:val="0"/>
                <w:numId w:val="8"/>
              </w:numPr>
              <w:rPr>
                <w:rFonts w:ascii="Verdana" w:hAnsi="Verdana"/>
                <w:sz w:val="18"/>
                <w:szCs w:val="18"/>
              </w:rPr>
            </w:pPr>
            <w:r w:rsidRPr="003C5C3B">
              <w:rPr>
                <w:rFonts w:ascii="Verdana" w:hAnsi="Verdana"/>
                <w:sz w:val="18"/>
                <w:szCs w:val="18"/>
              </w:rPr>
              <w:t xml:space="preserve">Compensation (if offered under Clause 1.4.8)  </w:t>
            </w:r>
          </w:p>
        </w:tc>
        <w:tc>
          <w:tcPr>
            <w:tcW w:w="1417" w:type="dxa"/>
            <w:vMerge/>
            <w:tcBorders>
              <w:top w:val="single" w:sz="8" w:space="0" w:color="000000"/>
              <w:left w:val="single" w:sz="8" w:space="0" w:color="000000"/>
              <w:bottom w:val="single" w:sz="8" w:space="0" w:color="000000"/>
              <w:right w:val="single" w:sz="8" w:space="0" w:color="000000"/>
            </w:tcBorders>
            <w:vAlign w:val="center"/>
          </w:tcPr>
          <w:p w14:paraId="57FDFE6B" w14:textId="77777777" w:rsidR="003C5C3B" w:rsidRPr="006F31E2" w:rsidRDefault="003C5C3B" w:rsidP="003C5C3B">
            <w:pPr>
              <w:jc w:val="center"/>
              <w:rPr>
                <w:rFonts w:ascii="Verdana" w:hAnsi="Verdana"/>
                <w:sz w:val="18"/>
              </w:rPr>
            </w:pPr>
          </w:p>
        </w:tc>
      </w:tr>
      <w:tr w:rsidR="003C5C3B" w:rsidRPr="000C0704" w14:paraId="57FDFE72" w14:textId="77777777" w:rsidTr="008305E8">
        <w:trPr>
          <w:trHeight w:val="207"/>
        </w:trPr>
        <w:tc>
          <w:tcPr>
            <w:tcW w:w="983" w:type="dxa"/>
            <w:tcBorders>
              <w:top w:val="single" w:sz="8" w:space="0" w:color="000000"/>
              <w:left w:val="single" w:sz="8" w:space="0" w:color="000000"/>
              <w:bottom w:val="single" w:sz="8" w:space="0" w:color="000000"/>
              <w:right w:val="single" w:sz="8" w:space="0" w:color="000000"/>
            </w:tcBorders>
            <w:shd w:val="clear" w:color="auto" w:fill="B8CCE4"/>
            <w:tcMar>
              <w:top w:w="15" w:type="dxa"/>
              <w:left w:w="38" w:type="dxa"/>
              <w:bottom w:w="0" w:type="dxa"/>
              <w:right w:w="38" w:type="dxa"/>
            </w:tcMar>
            <w:hideMark/>
          </w:tcPr>
          <w:p w14:paraId="57FDFE6E" w14:textId="5CBA00DF" w:rsidR="003C5C3B" w:rsidRPr="000C0704" w:rsidRDefault="003C5C3B" w:rsidP="003C5C3B">
            <w:pPr>
              <w:jc w:val="center"/>
              <w:rPr>
                <w:rFonts w:ascii="Verdana" w:hAnsi="Verdana"/>
                <w:sz w:val="18"/>
                <w:szCs w:val="18"/>
              </w:rPr>
            </w:pPr>
            <w:r w:rsidRPr="000C0704">
              <w:rPr>
                <w:rFonts w:ascii="Verdana" w:hAnsi="Verdana"/>
                <w:b/>
                <w:bCs/>
                <w:sz w:val="18"/>
                <w:szCs w:val="18"/>
              </w:rPr>
              <w:t>X</w:t>
            </w:r>
          </w:p>
        </w:tc>
        <w:tc>
          <w:tcPr>
            <w:tcW w:w="12190" w:type="dxa"/>
            <w:gridSpan w:val="3"/>
            <w:tcBorders>
              <w:top w:val="single" w:sz="8" w:space="0" w:color="000000"/>
              <w:left w:val="single" w:sz="8" w:space="0" w:color="000000"/>
              <w:bottom w:val="single" w:sz="8" w:space="0" w:color="000000"/>
              <w:right w:val="single" w:sz="8" w:space="0" w:color="000000"/>
            </w:tcBorders>
            <w:shd w:val="clear" w:color="auto" w:fill="B8CCE4"/>
            <w:vAlign w:val="center"/>
          </w:tcPr>
          <w:p w14:paraId="57FDFE6F" w14:textId="37A5400D" w:rsidR="003C5C3B" w:rsidRPr="000C0704" w:rsidRDefault="003C5C3B" w:rsidP="003C5C3B">
            <w:pPr>
              <w:jc w:val="left"/>
              <w:rPr>
                <w:rFonts w:ascii="Verdana" w:hAnsi="Verdana"/>
                <w:b/>
                <w:sz w:val="18"/>
                <w:szCs w:val="18"/>
              </w:rPr>
            </w:pPr>
            <w:r>
              <w:rPr>
                <w:rFonts w:ascii="Verdana" w:hAnsi="Verdana"/>
                <w:b/>
                <w:bCs/>
                <w:sz w:val="18"/>
                <w:szCs w:val="18"/>
              </w:rPr>
              <w:t>1</w:t>
            </w:r>
            <w:r w:rsidR="00EB7717">
              <w:rPr>
                <w:rFonts w:ascii="Verdana" w:hAnsi="Verdana"/>
                <w:b/>
                <w:bCs/>
                <w:sz w:val="18"/>
                <w:szCs w:val="18"/>
              </w:rPr>
              <w:t>1</w:t>
            </w:r>
            <w:r>
              <w:rPr>
                <w:rFonts w:ascii="Verdana" w:hAnsi="Verdana"/>
                <w:b/>
                <w:bCs/>
                <w:sz w:val="18"/>
                <w:szCs w:val="18"/>
              </w:rPr>
              <w:t xml:space="preserve"> May – </w:t>
            </w:r>
            <w:r w:rsidRPr="000C0704">
              <w:rPr>
                <w:rFonts w:ascii="Verdana" w:hAnsi="Verdana"/>
                <w:b/>
                <w:bCs/>
                <w:sz w:val="18"/>
                <w:szCs w:val="18"/>
              </w:rPr>
              <w:t xml:space="preserve">Slot Release Submission </w:t>
            </w:r>
            <w:r w:rsidRPr="000C0704">
              <w:rPr>
                <w:rFonts w:ascii="Verdana" w:hAnsi="Verdana"/>
                <w:b/>
                <w:bCs/>
                <w:color w:val="000000" w:themeColor="text1"/>
                <w:sz w:val="18"/>
                <w:szCs w:val="18"/>
              </w:rPr>
              <w:t xml:space="preserve">Deadline </w:t>
            </w:r>
          </w:p>
        </w:tc>
        <w:tc>
          <w:tcPr>
            <w:tcW w:w="1417" w:type="dxa"/>
            <w:tcBorders>
              <w:top w:val="single" w:sz="8" w:space="0" w:color="000000"/>
              <w:left w:val="single" w:sz="8" w:space="0" w:color="000000"/>
              <w:bottom w:val="single" w:sz="8" w:space="0" w:color="000000"/>
              <w:right w:val="single" w:sz="8" w:space="0" w:color="000000"/>
            </w:tcBorders>
            <w:shd w:val="clear" w:color="auto" w:fill="B8CCE4"/>
            <w:tcMar>
              <w:top w:w="15" w:type="dxa"/>
              <w:left w:w="38" w:type="dxa"/>
              <w:bottom w:w="0" w:type="dxa"/>
              <w:right w:w="38" w:type="dxa"/>
            </w:tcMar>
            <w:vAlign w:val="center"/>
          </w:tcPr>
          <w:p w14:paraId="57FDFE70" w14:textId="77777777" w:rsidR="003C5C3B" w:rsidRPr="006F31E2" w:rsidRDefault="003C5C3B" w:rsidP="003C5C3B">
            <w:pPr>
              <w:jc w:val="center"/>
              <w:rPr>
                <w:rFonts w:ascii="Verdana" w:hAnsi="Verdana"/>
                <w:sz w:val="18"/>
              </w:rPr>
            </w:pPr>
          </w:p>
        </w:tc>
      </w:tr>
      <w:tr w:rsidR="003C5C3B" w:rsidRPr="00DC7B92" w14:paraId="57FDFE86" w14:textId="77777777" w:rsidTr="008305E8">
        <w:trPr>
          <w:trHeight w:val="567"/>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14:paraId="57FDFE73" w14:textId="66C05722" w:rsidR="003C5C3B" w:rsidRPr="000C0704" w:rsidRDefault="003C5C3B" w:rsidP="003C5C3B">
            <w:pPr>
              <w:jc w:val="center"/>
              <w:rPr>
                <w:rFonts w:ascii="Verdana" w:hAnsi="Verdana"/>
                <w:b/>
                <w:sz w:val="18"/>
                <w:szCs w:val="18"/>
              </w:rPr>
            </w:pPr>
            <w:r w:rsidRPr="000C0704">
              <w:rPr>
                <w:rFonts w:ascii="Verdana" w:hAnsi="Verdana"/>
                <w:b/>
                <w:sz w:val="18"/>
                <w:szCs w:val="18"/>
              </w:rPr>
              <w:t>X+2</w:t>
            </w:r>
          </w:p>
        </w:tc>
        <w:tc>
          <w:tcPr>
            <w:tcW w:w="1417" w:type="dxa"/>
            <w:tcBorders>
              <w:top w:val="single" w:sz="8" w:space="0" w:color="000000"/>
              <w:left w:val="single" w:sz="8" w:space="0" w:color="000000"/>
              <w:bottom w:val="single" w:sz="8" w:space="0" w:color="000000"/>
              <w:right w:val="single" w:sz="8" w:space="0" w:color="000000"/>
            </w:tcBorders>
            <w:vAlign w:val="center"/>
          </w:tcPr>
          <w:p w14:paraId="0E2BC49C" w14:textId="5DB34921" w:rsidR="003C5C3B" w:rsidRPr="000C0704" w:rsidRDefault="007353EE" w:rsidP="003C5C3B">
            <w:pPr>
              <w:jc w:val="center"/>
              <w:rPr>
                <w:rFonts w:ascii="Verdana" w:hAnsi="Verdana"/>
                <w:sz w:val="18"/>
                <w:szCs w:val="18"/>
              </w:rPr>
            </w:pPr>
            <w:r>
              <w:rPr>
                <w:rFonts w:ascii="Verdana" w:hAnsi="Verdana"/>
                <w:color w:val="000000" w:themeColor="text1"/>
                <w:sz w:val="18"/>
                <w:szCs w:val="18"/>
              </w:rPr>
              <w:t>25 May</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14:paraId="57FDFE74" w14:textId="38617755" w:rsidR="003C5C3B" w:rsidRPr="000C0704" w:rsidRDefault="003C5C3B" w:rsidP="003C5C3B">
            <w:pPr>
              <w:jc w:val="center"/>
              <w:rPr>
                <w:rFonts w:ascii="Verdana" w:hAnsi="Verdana"/>
                <w:sz w:val="18"/>
                <w:szCs w:val="18"/>
              </w:rPr>
            </w:pPr>
            <w:r w:rsidRPr="000C0704">
              <w:rPr>
                <w:rFonts w:ascii="Verdana" w:hAnsi="Verdana"/>
                <w:sz w:val="18"/>
                <w:szCs w:val="18"/>
              </w:rPr>
              <w:t>1.4.9 and 1.4.10</w:t>
            </w:r>
          </w:p>
        </w:tc>
        <w:tc>
          <w:tcPr>
            <w:tcW w:w="9214"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14:paraId="1B658FCA" w14:textId="6424B11D" w:rsidR="003C5C3B" w:rsidRPr="00DD7B7D" w:rsidRDefault="003C5C3B" w:rsidP="00DD7B7D">
            <w:pPr>
              <w:rPr>
                <w:rFonts w:ascii="Verdana" w:hAnsi="Verdana"/>
                <w:sz w:val="18"/>
                <w:szCs w:val="18"/>
              </w:rPr>
            </w:pPr>
            <w:r w:rsidRPr="00DD7B7D">
              <w:rPr>
                <w:rFonts w:ascii="Verdana" w:hAnsi="Verdana"/>
                <w:sz w:val="18"/>
                <w:szCs w:val="18"/>
              </w:rPr>
              <w:t>MT advises the Commission:</w:t>
            </w:r>
          </w:p>
          <w:p w14:paraId="2249F753" w14:textId="25DDB757" w:rsidR="003C5C3B" w:rsidRPr="00DD7B7D" w:rsidRDefault="003C5C3B" w:rsidP="00DD7B7D">
            <w:pPr>
              <w:pStyle w:val="ListParagraph"/>
              <w:numPr>
                <w:ilvl w:val="0"/>
                <w:numId w:val="9"/>
              </w:numPr>
              <w:rPr>
                <w:rFonts w:ascii="Verdana" w:hAnsi="Verdana"/>
                <w:sz w:val="18"/>
                <w:szCs w:val="18"/>
              </w:rPr>
            </w:pPr>
            <w:r w:rsidRPr="00DD7B7D">
              <w:rPr>
                <w:rFonts w:ascii="Verdana" w:hAnsi="Verdana"/>
                <w:sz w:val="18"/>
                <w:szCs w:val="18"/>
              </w:rPr>
              <w:t>If Applicant is a viable competitor</w:t>
            </w:r>
          </w:p>
          <w:p w14:paraId="0AA1F4CF" w14:textId="3D7B8333" w:rsidR="003C5C3B" w:rsidRPr="00DD7B7D" w:rsidRDefault="003C5C3B" w:rsidP="00DD7B7D">
            <w:pPr>
              <w:pStyle w:val="ListParagraph"/>
              <w:numPr>
                <w:ilvl w:val="0"/>
                <w:numId w:val="9"/>
              </w:numPr>
              <w:rPr>
                <w:rFonts w:ascii="Verdana" w:hAnsi="Verdana"/>
                <w:sz w:val="18"/>
                <w:szCs w:val="18"/>
              </w:rPr>
            </w:pPr>
            <w:r w:rsidRPr="00DD7B7D">
              <w:rPr>
                <w:rFonts w:ascii="Verdana" w:hAnsi="Verdana"/>
                <w:sz w:val="18"/>
                <w:szCs w:val="18"/>
              </w:rPr>
              <w:t>Evaluate bids / rank in order of preference</w:t>
            </w:r>
          </w:p>
          <w:p w14:paraId="023971E2" w14:textId="0EDF6B8C" w:rsidR="003C5C3B" w:rsidRPr="00DD7B7D" w:rsidRDefault="003C5C3B" w:rsidP="00DD7B7D">
            <w:pPr>
              <w:pStyle w:val="ListParagraph"/>
              <w:numPr>
                <w:ilvl w:val="1"/>
                <w:numId w:val="9"/>
              </w:numPr>
              <w:rPr>
                <w:rFonts w:ascii="Verdana" w:hAnsi="Verdana"/>
                <w:sz w:val="18"/>
                <w:szCs w:val="18"/>
              </w:rPr>
            </w:pPr>
            <w:r w:rsidRPr="00DD7B7D">
              <w:rPr>
                <w:rFonts w:ascii="Verdana" w:hAnsi="Verdana"/>
                <w:sz w:val="18"/>
                <w:szCs w:val="18"/>
              </w:rPr>
              <w:t>Review business plans in a similar way to the CAA “financial fitness” assessment: cross check with historical route and yield data (may need to obtain some of this from IAG)</w:t>
            </w:r>
          </w:p>
          <w:p w14:paraId="70D2A5EB" w14:textId="37078D0C" w:rsidR="003C5C3B" w:rsidRPr="00DD7B7D" w:rsidRDefault="003C5C3B" w:rsidP="00DD7B7D">
            <w:pPr>
              <w:pStyle w:val="ListParagraph"/>
              <w:numPr>
                <w:ilvl w:val="1"/>
                <w:numId w:val="9"/>
              </w:numPr>
              <w:rPr>
                <w:rFonts w:ascii="Verdana" w:hAnsi="Verdana"/>
                <w:sz w:val="18"/>
                <w:szCs w:val="18"/>
              </w:rPr>
            </w:pPr>
            <w:r w:rsidRPr="00DD7B7D">
              <w:rPr>
                <w:rFonts w:ascii="Verdana" w:hAnsi="Verdana"/>
                <w:sz w:val="18"/>
                <w:szCs w:val="18"/>
              </w:rPr>
              <w:t>Assess whether the Applicant is “viable”</w:t>
            </w:r>
          </w:p>
          <w:p w14:paraId="5C3418C4" w14:textId="16E5E885" w:rsidR="003C5C3B" w:rsidRPr="00DD7B7D" w:rsidRDefault="003C5C3B" w:rsidP="00DD7B7D">
            <w:pPr>
              <w:pStyle w:val="ListParagraph"/>
              <w:numPr>
                <w:ilvl w:val="1"/>
                <w:numId w:val="9"/>
              </w:numPr>
              <w:rPr>
                <w:rFonts w:ascii="Verdana" w:hAnsi="Verdana"/>
                <w:sz w:val="18"/>
                <w:szCs w:val="18"/>
              </w:rPr>
            </w:pPr>
            <w:r w:rsidRPr="00DD7B7D">
              <w:rPr>
                <w:rFonts w:ascii="Verdana" w:hAnsi="Verdana"/>
                <w:sz w:val="18"/>
                <w:szCs w:val="18"/>
              </w:rPr>
              <w:t>Produce assessment framework utilising the Commission’s criteria 1.4.4 and the financial bids</w:t>
            </w:r>
          </w:p>
          <w:p w14:paraId="55A6F370" w14:textId="1BFEEAB3" w:rsidR="003C5C3B" w:rsidRPr="00DD7B7D" w:rsidRDefault="003C5C3B" w:rsidP="00DD7B7D">
            <w:pPr>
              <w:pStyle w:val="ListParagraph"/>
              <w:numPr>
                <w:ilvl w:val="1"/>
                <w:numId w:val="9"/>
              </w:numPr>
              <w:rPr>
                <w:rFonts w:ascii="Verdana" w:hAnsi="Verdana"/>
                <w:sz w:val="18"/>
                <w:szCs w:val="18"/>
              </w:rPr>
            </w:pPr>
            <w:r w:rsidRPr="00DD7B7D">
              <w:rPr>
                <w:rFonts w:ascii="Verdana" w:hAnsi="Verdana"/>
                <w:sz w:val="18"/>
                <w:szCs w:val="18"/>
              </w:rPr>
              <w:t>Agree weightings on objectives and financials</w:t>
            </w:r>
          </w:p>
          <w:p w14:paraId="00D60089" w14:textId="197E5797" w:rsidR="003C5C3B" w:rsidRPr="00DD7B7D" w:rsidRDefault="003C5C3B" w:rsidP="00DD7B7D">
            <w:pPr>
              <w:pStyle w:val="ListParagraph"/>
              <w:numPr>
                <w:ilvl w:val="1"/>
                <w:numId w:val="9"/>
              </w:numPr>
              <w:rPr>
                <w:rFonts w:ascii="Verdana" w:hAnsi="Verdana"/>
                <w:sz w:val="18"/>
                <w:szCs w:val="18"/>
              </w:rPr>
            </w:pPr>
            <w:r w:rsidRPr="00DD7B7D">
              <w:rPr>
                <w:rFonts w:ascii="Verdana" w:hAnsi="Verdana"/>
                <w:sz w:val="18"/>
                <w:szCs w:val="18"/>
              </w:rPr>
              <w:t>Liaise with the Commission to evaluate and rank bids according to these assessment criteria</w:t>
            </w:r>
          </w:p>
          <w:p w14:paraId="57FDFE7C" w14:textId="26C40D97" w:rsidR="003C5C3B" w:rsidRPr="003C5C3B" w:rsidRDefault="003C5C3B" w:rsidP="00DD7B7D">
            <w:pPr>
              <w:pStyle w:val="ListParagraph"/>
              <w:numPr>
                <w:ilvl w:val="1"/>
                <w:numId w:val="9"/>
              </w:numPr>
            </w:pPr>
            <w:r w:rsidRPr="00DD7B7D">
              <w:rPr>
                <w:rFonts w:ascii="Verdana" w:hAnsi="Verdana"/>
                <w:sz w:val="18"/>
                <w:szCs w:val="18"/>
              </w:rPr>
              <w:t>Ensure appropriate spread of slots across the day (no more than 5 in the morning, 5 in the afternoon, and 5 in the evening), potentially using operational research techniques</w:t>
            </w:r>
            <w:r w:rsidRPr="00DD7B7D">
              <w:t xml:space="preserve">  </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tcPr>
          <w:p w14:paraId="57FDFE83" w14:textId="7AF2E0BC" w:rsidR="003C5C3B" w:rsidRPr="00C37D90" w:rsidRDefault="003C5C3B" w:rsidP="003C5C3B">
            <w:pPr>
              <w:jc w:val="center"/>
              <w:rPr>
                <w:rFonts w:ascii="Verdana" w:hAnsi="Verdana"/>
                <w:sz w:val="18"/>
                <w:szCs w:val="18"/>
              </w:rPr>
            </w:pPr>
            <w:r>
              <w:rPr>
                <w:rFonts w:ascii="Verdana" w:hAnsi="Verdana"/>
                <w:sz w:val="18"/>
                <w:szCs w:val="18"/>
              </w:rPr>
              <w:t>2</w:t>
            </w:r>
            <w:r w:rsidR="00A41EA9">
              <w:rPr>
                <w:rFonts w:ascii="Verdana" w:hAnsi="Verdana"/>
                <w:sz w:val="18"/>
                <w:szCs w:val="18"/>
              </w:rPr>
              <w:t>1</w:t>
            </w:r>
          </w:p>
        </w:tc>
      </w:tr>
      <w:tr w:rsidR="003C5C3B" w:rsidRPr="000C0704" w14:paraId="57FDFE8C" w14:textId="77777777" w:rsidTr="008305E8">
        <w:trPr>
          <w:trHeight w:val="296"/>
        </w:trPr>
        <w:tc>
          <w:tcPr>
            <w:tcW w:w="983" w:type="dxa"/>
            <w:vMerge/>
            <w:tcBorders>
              <w:top w:val="single" w:sz="8" w:space="0" w:color="000000"/>
              <w:left w:val="single" w:sz="8" w:space="0" w:color="000000"/>
              <w:bottom w:val="single" w:sz="8" w:space="0" w:color="000000"/>
              <w:right w:val="single" w:sz="8" w:space="0" w:color="000000"/>
            </w:tcBorders>
            <w:vAlign w:val="center"/>
            <w:hideMark/>
          </w:tcPr>
          <w:p w14:paraId="57FDFE87" w14:textId="77777777" w:rsidR="003C5C3B" w:rsidRPr="000C0704" w:rsidRDefault="003C5C3B" w:rsidP="003C5C3B">
            <w:pPr>
              <w:jc w:val="center"/>
              <w:rPr>
                <w:rFonts w:ascii="Verdana" w:hAnsi="Verdana"/>
                <w:b/>
                <w:sz w:val="18"/>
                <w:szCs w:val="18"/>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1E88546B" w14:textId="77777777" w:rsidR="003C5C3B" w:rsidRPr="000C0704" w:rsidRDefault="003C5C3B" w:rsidP="003C5C3B">
            <w:pPr>
              <w:jc w:val="left"/>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14:paraId="57FDFE88" w14:textId="134A41CD" w:rsidR="003C5C3B" w:rsidRPr="000C0704" w:rsidRDefault="003C5C3B" w:rsidP="003C5C3B">
            <w:pPr>
              <w:jc w:val="center"/>
              <w:rPr>
                <w:rFonts w:ascii="Verdana" w:hAnsi="Verdana"/>
                <w:sz w:val="18"/>
                <w:szCs w:val="18"/>
              </w:rPr>
            </w:pPr>
            <w:r w:rsidRPr="000C0704">
              <w:rPr>
                <w:rFonts w:ascii="Verdana" w:hAnsi="Verdana"/>
                <w:sz w:val="18"/>
                <w:szCs w:val="18"/>
              </w:rPr>
              <w:t>1.4.9 and 1.4.10</w:t>
            </w:r>
          </w:p>
        </w:tc>
        <w:tc>
          <w:tcPr>
            <w:tcW w:w="9214"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14:paraId="57FDFE89" w14:textId="43E0B485" w:rsidR="003C5C3B" w:rsidRPr="000C0704" w:rsidRDefault="003C5C3B" w:rsidP="003C5C3B">
            <w:pPr>
              <w:rPr>
                <w:rFonts w:ascii="Verdana" w:hAnsi="Verdana"/>
                <w:sz w:val="18"/>
                <w:szCs w:val="18"/>
              </w:rPr>
            </w:pPr>
            <w:r w:rsidRPr="000C0704">
              <w:rPr>
                <w:rFonts w:ascii="Verdana" w:hAnsi="Verdana"/>
                <w:sz w:val="18"/>
                <w:szCs w:val="18"/>
              </w:rPr>
              <w:t>Commission evaluates Applicants and</w:t>
            </w:r>
            <w:r>
              <w:rPr>
                <w:rFonts w:ascii="Verdana" w:hAnsi="Verdana"/>
                <w:sz w:val="18"/>
                <w:szCs w:val="18"/>
              </w:rPr>
              <w:t xml:space="preserve"> their</w:t>
            </w:r>
            <w:r w:rsidRPr="000C0704">
              <w:rPr>
                <w:rFonts w:ascii="Verdana" w:hAnsi="Verdana"/>
                <w:sz w:val="18"/>
                <w:szCs w:val="18"/>
              </w:rPr>
              <w:t xml:space="preserve"> business plan submissions</w:t>
            </w:r>
            <w:r>
              <w:rPr>
                <w:rFonts w:ascii="Verdana" w:hAnsi="Verdana"/>
                <w:sz w:val="18"/>
                <w:szCs w:val="18"/>
              </w:rPr>
              <w:t>.</w:t>
            </w:r>
            <w:r w:rsidRPr="000C0704">
              <w:rPr>
                <w:rFonts w:ascii="Verdana" w:hAnsi="Verdana"/>
                <w:sz w:val="18"/>
                <w:szCs w:val="18"/>
              </w:rPr>
              <w:t xml:space="preserve"> </w:t>
            </w:r>
          </w:p>
        </w:tc>
        <w:tc>
          <w:tcPr>
            <w:tcW w:w="1417" w:type="dxa"/>
            <w:vMerge/>
            <w:tcBorders>
              <w:top w:val="single" w:sz="8" w:space="0" w:color="000000"/>
              <w:left w:val="single" w:sz="8" w:space="0" w:color="000000"/>
              <w:bottom w:val="single" w:sz="8" w:space="0" w:color="000000"/>
              <w:right w:val="single" w:sz="8" w:space="0" w:color="000000"/>
            </w:tcBorders>
            <w:vAlign w:val="center"/>
          </w:tcPr>
          <w:p w14:paraId="57FDFE8A" w14:textId="77777777" w:rsidR="003C5C3B" w:rsidRPr="00C37D90" w:rsidRDefault="003C5C3B" w:rsidP="003C5C3B">
            <w:pPr>
              <w:jc w:val="center"/>
              <w:rPr>
                <w:rFonts w:ascii="Verdana" w:hAnsi="Verdana"/>
                <w:sz w:val="18"/>
                <w:szCs w:val="18"/>
              </w:rPr>
            </w:pPr>
          </w:p>
        </w:tc>
      </w:tr>
      <w:tr w:rsidR="003C5C3B" w:rsidRPr="000C0704" w14:paraId="57FDFE92" w14:textId="77777777" w:rsidTr="003C5C3B">
        <w:trPr>
          <w:trHeight w:val="282"/>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14:paraId="57FDFE8D" w14:textId="7BDB914F" w:rsidR="003C5C3B" w:rsidRPr="000C0704" w:rsidRDefault="003C5C3B" w:rsidP="003C5C3B">
            <w:pPr>
              <w:jc w:val="center"/>
              <w:rPr>
                <w:rFonts w:ascii="Verdana" w:hAnsi="Verdana"/>
                <w:b/>
                <w:sz w:val="18"/>
                <w:szCs w:val="18"/>
              </w:rPr>
            </w:pPr>
            <w:r w:rsidRPr="000C0704">
              <w:rPr>
                <w:rFonts w:ascii="Verdana" w:hAnsi="Verdana"/>
                <w:b/>
                <w:sz w:val="18"/>
                <w:szCs w:val="18"/>
              </w:rPr>
              <w:t>X+3</w:t>
            </w:r>
          </w:p>
        </w:tc>
        <w:tc>
          <w:tcPr>
            <w:tcW w:w="1417" w:type="dxa"/>
            <w:tcBorders>
              <w:top w:val="single" w:sz="8" w:space="0" w:color="000000"/>
              <w:left w:val="single" w:sz="8" w:space="0" w:color="000000"/>
              <w:bottom w:val="single" w:sz="8" w:space="0" w:color="000000"/>
              <w:right w:val="single" w:sz="8" w:space="0" w:color="000000"/>
            </w:tcBorders>
          </w:tcPr>
          <w:p w14:paraId="60A789C3" w14:textId="52A48E4C" w:rsidR="003C5C3B" w:rsidRPr="000C0704" w:rsidRDefault="007353EE" w:rsidP="003C5C3B">
            <w:pPr>
              <w:jc w:val="center"/>
              <w:rPr>
                <w:rFonts w:ascii="Verdana" w:hAnsi="Verdana"/>
                <w:sz w:val="18"/>
                <w:szCs w:val="18"/>
              </w:rPr>
            </w:pPr>
            <w:r>
              <w:rPr>
                <w:rFonts w:ascii="Verdana" w:hAnsi="Verdana"/>
                <w:sz w:val="18"/>
                <w:szCs w:val="18"/>
              </w:rPr>
              <w:t>1</w:t>
            </w:r>
            <w:r w:rsidR="003C5C3B">
              <w:rPr>
                <w:rFonts w:ascii="Verdana" w:hAnsi="Verdana"/>
                <w:sz w:val="18"/>
                <w:szCs w:val="18"/>
              </w:rPr>
              <w:t xml:space="preserve"> June</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14:paraId="57FDFE8E" w14:textId="22CB1C6F" w:rsidR="003C5C3B" w:rsidRPr="000C0704" w:rsidRDefault="003C5C3B" w:rsidP="003C5C3B">
            <w:pPr>
              <w:jc w:val="center"/>
              <w:rPr>
                <w:rFonts w:ascii="Verdana" w:hAnsi="Verdana"/>
                <w:sz w:val="18"/>
                <w:szCs w:val="18"/>
              </w:rPr>
            </w:pPr>
            <w:r w:rsidRPr="000C0704">
              <w:rPr>
                <w:rFonts w:ascii="Verdana" w:hAnsi="Verdana"/>
                <w:sz w:val="18"/>
                <w:szCs w:val="18"/>
              </w:rPr>
              <w:t>1.4.8</w:t>
            </w:r>
          </w:p>
        </w:tc>
        <w:tc>
          <w:tcPr>
            <w:tcW w:w="9214"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tcPr>
          <w:p w14:paraId="57FDFE8F" w14:textId="1F10C18B" w:rsidR="003C5C3B" w:rsidRPr="000C0704" w:rsidRDefault="003C5C3B" w:rsidP="003C5C3B">
            <w:pPr>
              <w:rPr>
                <w:rFonts w:ascii="Verdana" w:hAnsi="Verdana"/>
                <w:sz w:val="18"/>
                <w:szCs w:val="18"/>
              </w:rPr>
            </w:pPr>
            <w:r w:rsidRPr="003C5C3B">
              <w:rPr>
                <w:rFonts w:ascii="Verdana" w:hAnsi="Verdana"/>
                <w:sz w:val="18"/>
                <w:szCs w:val="18"/>
              </w:rPr>
              <w:t>Where Applicants have made compensation offers, IAG provides the MT with a ranking of those offers.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tcPr>
          <w:p w14:paraId="57FDFE90" w14:textId="5EDE2A9E" w:rsidR="003C5C3B" w:rsidRPr="00C37D90" w:rsidRDefault="003C5C3B" w:rsidP="003C5C3B">
            <w:pPr>
              <w:jc w:val="center"/>
              <w:rPr>
                <w:rFonts w:ascii="Verdana" w:hAnsi="Verdana"/>
                <w:sz w:val="18"/>
                <w:szCs w:val="18"/>
              </w:rPr>
            </w:pPr>
            <w:r>
              <w:rPr>
                <w:rFonts w:ascii="Verdana" w:hAnsi="Verdana"/>
                <w:sz w:val="18"/>
                <w:szCs w:val="18"/>
              </w:rPr>
              <w:t>2</w:t>
            </w:r>
            <w:r w:rsidR="00A41EA9">
              <w:rPr>
                <w:rFonts w:ascii="Verdana" w:hAnsi="Verdana"/>
                <w:sz w:val="18"/>
                <w:szCs w:val="18"/>
              </w:rPr>
              <w:t>2</w:t>
            </w:r>
          </w:p>
        </w:tc>
      </w:tr>
      <w:tr w:rsidR="003C5C3B" w:rsidRPr="000C0704" w14:paraId="57FDFE98" w14:textId="77777777" w:rsidTr="008305E8">
        <w:trPr>
          <w:trHeight w:val="282"/>
        </w:trPr>
        <w:tc>
          <w:tcPr>
            <w:tcW w:w="983" w:type="dxa"/>
            <w:vMerge w:val="restart"/>
            <w:tcBorders>
              <w:top w:val="single" w:sz="8" w:space="0" w:color="000000"/>
              <w:left w:val="single" w:sz="8" w:space="0" w:color="000000"/>
              <w:right w:val="single" w:sz="8" w:space="0" w:color="000000"/>
            </w:tcBorders>
            <w:shd w:val="clear" w:color="auto" w:fill="auto"/>
            <w:tcMar>
              <w:top w:w="15" w:type="dxa"/>
              <w:left w:w="50" w:type="dxa"/>
              <w:bottom w:w="0" w:type="dxa"/>
              <w:right w:w="50" w:type="dxa"/>
            </w:tcMar>
            <w:hideMark/>
          </w:tcPr>
          <w:p w14:paraId="57FDFE93" w14:textId="79BC8836" w:rsidR="003C5C3B" w:rsidRPr="00233145" w:rsidRDefault="003C5C3B" w:rsidP="003C5C3B">
            <w:pPr>
              <w:jc w:val="center"/>
              <w:rPr>
                <w:rFonts w:ascii="Verdana" w:hAnsi="Verdana"/>
                <w:b/>
                <w:sz w:val="18"/>
                <w:szCs w:val="18"/>
              </w:rPr>
            </w:pPr>
            <w:r w:rsidRPr="00233145">
              <w:rPr>
                <w:rFonts w:ascii="Verdana" w:hAnsi="Verdana"/>
                <w:b/>
                <w:sz w:val="18"/>
                <w:szCs w:val="18"/>
              </w:rPr>
              <w:t>X+</w:t>
            </w:r>
            <w:r>
              <w:rPr>
                <w:rFonts w:ascii="Verdana" w:hAnsi="Verdana"/>
                <w:b/>
                <w:sz w:val="18"/>
                <w:szCs w:val="18"/>
              </w:rPr>
              <w:t>4</w:t>
            </w:r>
          </w:p>
        </w:tc>
        <w:tc>
          <w:tcPr>
            <w:tcW w:w="1417" w:type="dxa"/>
            <w:vMerge w:val="restart"/>
            <w:tcBorders>
              <w:top w:val="single" w:sz="8" w:space="0" w:color="000000"/>
              <w:left w:val="single" w:sz="8" w:space="0" w:color="000000"/>
              <w:right w:val="single" w:sz="8" w:space="0" w:color="000000"/>
            </w:tcBorders>
          </w:tcPr>
          <w:p w14:paraId="5A76DB8C" w14:textId="3F930442" w:rsidR="003C5C3B" w:rsidRPr="00233145" w:rsidRDefault="007353EE" w:rsidP="003C5C3B">
            <w:pPr>
              <w:jc w:val="center"/>
              <w:rPr>
                <w:rFonts w:ascii="Verdana" w:hAnsi="Verdana"/>
                <w:sz w:val="18"/>
                <w:szCs w:val="18"/>
              </w:rPr>
            </w:pPr>
            <w:r>
              <w:rPr>
                <w:rFonts w:ascii="Verdana" w:hAnsi="Verdana"/>
                <w:sz w:val="18"/>
                <w:szCs w:val="18"/>
              </w:rPr>
              <w:t>8</w:t>
            </w:r>
            <w:r w:rsidR="008327EB">
              <w:rPr>
                <w:rFonts w:ascii="Verdana" w:hAnsi="Verdana"/>
                <w:sz w:val="18"/>
                <w:szCs w:val="18"/>
              </w:rPr>
              <w:t xml:space="preserve"> </w:t>
            </w:r>
            <w:r w:rsidR="003C5C3B">
              <w:rPr>
                <w:rFonts w:ascii="Verdana" w:hAnsi="Verdana"/>
                <w:sz w:val="18"/>
                <w:szCs w:val="18"/>
              </w:rPr>
              <w:t>June</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14:paraId="57FDFE94" w14:textId="650E8253" w:rsidR="003C5C3B" w:rsidRPr="00233145" w:rsidRDefault="003C5C3B" w:rsidP="003C5C3B">
            <w:pPr>
              <w:jc w:val="center"/>
              <w:rPr>
                <w:rFonts w:ascii="Verdana" w:hAnsi="Verdana"/>
                <w:sz w:val="18"/>
                <w:szCs w:val="18"/>
              </w:rPr>
            </w:pPr>
            <w:r w:rsidRPr="00233145">
              <w:rPr>
                <w:rFonts w:ascii="Verdana" w:hAnsi="Verdana"/>
                <w:sz w:val="18"/>
                <w:szCs w:val="18"/>
              </w:rPr>
              <w:t>1.4.11</w:t>
            </w:r>
          </w:p>
        </w:tc>
        <w:tc>
          <w:tcPr>
            <w:tcW w:w="9214"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14:paraId="57FDFE95" w14:textId="60DDC1BE" w:rsidR="003C5C3B" w:rsidRPr="00233145" w:rsidRDefault="003C5C3B" w:rsidP="003C5C3B">
            <w:pPr>
              <w:rPr>
                <w:rFonts w:ascii="Verdana" w:hAnsi="Verdana"/>
                <w:sz w:val="18"/>
                <w:szCs w:val="18"/>
              </w:rPr>
            </w:pPr>
            <w:r w:rsidRPr="00233145">
              <w:rPr>
                <w:rFonts w:ascii="Verdana" w:hAnsi="Verdana"/>
                <w:sz w:val="18"/>
                <w:szCs w:val="18"/>
              </w:rPr>
              <w:t xml:space="preserve">Based on </w:t>
            </w:r>
            <w:r>
              <w:rPr>
                <w:rFonts w:ascii="Verdana" w:hAnsi="Verdana"/>
                <w:sz w:val="18"/>
                <w:szCs w:val="18"/>
              </w:rPr>
              <w:t xml:space="preserve">the </w:t>
            </w:r>
            <w:r w:rsidRPr="00233145">
              <w:rPr>
                <w:rFonts w:ascii="Verdana" w:hAnsi="Verdana"/>
                <w:sz w:val="18"/>
                <w:szCs w:val="18"/>
              </w:rPr>
              <w:t>evaluation of bids</w:t>
            </w:r>
            <w:r>
              <w:rPr>
                <w:rFonts w:ascii="Verdana" w:hAnsi="Verdana"/>
                <w:sz w:val="18"/>
                <w:szCs w:val="18"/>
              </w:rPr>
              <w:t xml:space="preserve"> by the MT</w:t>
            </w:r>
            <w:r w:rsidRPr="00233145">
              <w:rPr>
                <w:rFonts w:ascii="Verdana" w:hAnsi="Verdana"/>
                <w:sz w:val="18"/>
                <w:szCs w:val="18"/>
              </w:rPr>
              <w:t xml:space="preserve">, </w:t>
            </w:r>
            <w:r>
              <w:rPr>
                <w:rFonts w:ascii="Verdana" w:hAnsi="Verdana"/>
                <w:sz w:val="18"/>
                <w:szCs w:val="18"/>
              </w:rPr>
              <w:t xml:space="preserve">the Commission </w:t>
            </w:r>
            <w:r w:rsidRPr="00233145">
              <w:rPr>
                <w:rFonts w:ascii="Verdana" w:hAnsi="Verdana"/>
                <w:sz w:val="18"/>
                <w:szCs w:val="18"/>
              </w:rPr>
              <w:t xml:space="preserve">ranks the viable </w:t>
            </w:r>
            <w:r>
              <w:rPr>
                <w:rFonts w:ascii="Verdana" w:hAnsi="Verdana"/>
                <w:sz w:val="18"/>
                <w:szCs w:val="18"/>
              </w:rPr>
              <w:t>A</w:t>
            </w:r>
            <w:r w:rsidRPr="00233145">
              <w:rPr>
                <w:rFonts w:ascii="Verdana" w:hAnsi="Verdana"/>
                <w:sz w:val="18"/>
                <w:szCs w:val="18"/>
              </w:rPr>
              <w:t xml:space="preserve">pplicants for each Identified City Pair. </w:t>
            </w:r>
            <w:r>
              <w:rPr>
                <w:rFonts w:ascii="Verdana" w:hAnsi="Verdana"/>
                <w:sz w:val="18"/>
                <w:szCs w:val="18"/>
              </w:rPr>
              <w:t xml:space="preserve"> The </w:t>
            </w:r>
            <w:r w:rsidRPr="00233145">
              <w:rPr>
                <w:rFonts w:ascii="Verdana" w:hAnsi="Verdana"/>
                <w:sz w:val="18"/>
                <w:szCs w:val="18"/>
              </w:rPr>
              <w:t xml:space="preserve">MT informs </w:t>
            </w:r>
            <w:r>
              <w:rPr>
                <w:rFonts w:ascii="Verdana" w:hAnsi="Verdana"/>
                <w:sz w:val="18"/>
                <w:szCs w:val="18"/>
              </w:rPr>
              <w:t xml:space="preserve">the </w:t>
            </w:r>
            <w:r w:rsidRPr="00233145">
              <w:rPr>
                <w:rFonts w:ascii="Verdana" w:hAnsi="Verdana"/>
                <w:sz w:val="18"/>
                <w:szCs w:val="18"/>
              </w:rPr>
              <w:t>Applicant whether it qualifies for slots and its ranking</w:t>
            </w:r>
            <w:r>
              <w:rPr>
                <w:rFonts w:ascii="Verdana" w:hAnsi="Verdana"/>
                <w:sz w:val="18"/>
                <w:szCs w:val="18"/>
              </w:rPr>
              <w:t>.</w:t>
            </w:r>
            <w:r w:rsidRPr="00233145">
              <w:rPr>
                <w:rFonts w:ascii="Verdana" w:hAnsi="Verdana"/>
                <w:sz w:val="18"/>
                <w:szCs w:val="18"/>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tcPr>
          <w:p w14:paraId="57FDFE96" w14:textId="40E5075C" w:rsidR="003C5C3B" w:rsidRPr="00C37D90" w:rsidRDefault="003C5C3B" w:rsidP="003C5C3B">
            <w:pPr>
              <w:jc w:val="center"/>
              <w:rPr>
                <w:rFonts w:ascii="Verdana" w:hAnsi="Verdana"/>
                <w:sz w:val="18"/>
                <w:szCs w:val="18"/>
              </w:rPr>
            </w:pPr>
            <w:r>
              <w:rPr>
                <w:rFonts w:ascii="Verdana" w:hAnsi="Verdana"/>
                <w:sz w:val="18"/>
                <w:szCs w:val="18"/>
              </w:rPr>
              <w:t>2</w:t>
            </w:r>
            <w:r w:rsidR="00A41EA9">
              <w:rPr>
                <w:rFonts w:ascii="Verdana" w:hAnsi="Verdana"/>
                <w:sz w:val="18"/>
                <w:szCs w:val="18"/>
              </w:rPr>
              <w:t>3</w:t>
            </w:r>
          </w:p>
        </w:tc>
      </w:tr>
      <w:tr w:rsidR="003C5C3B" w:rsidRPr="000C0704" w14:paraId="64680CD8" w14:textId="77777777" w:rsidTr="008305E8">
        <w:trPr>
          <w:trHeight w:val="282"/>
        </w:trPr>
        <w:tc>
          <w:tcPr>
            <w:tcW w:w="983" w:type="dxa"/>
            <w:vMerge/>
            <w:tcBorders>
              <w:left w:val="single" w:sz="8" w:space="0" w:color="000000"/>
              <w:bottom w:val="single" w:sz="8" w:space="0" w:color="000000"/>
              <w:right w:val="single" w:sz="8" w:space="0" w:color="000000"/>
            </w:tcBorders>
            <w:shd w:val="clear" w:color="auto" w:fill="auto"/>
            <w:tcMar>
              <w:top w:w="15" w:type="dxa"/>
              <w:left w:w="50" w:type="dxa"/>
              <w:bottom w:w="0" w:type="dxa"/>
              <w:right w:w="50" w:type="dxa"/>
            </w:tcMar>
          </w:tcPr>
          <w:p w14:paraId="295083C4" w14:textId="77777777" w:rsidR="003C5C3B" w:rsidRPr="00233145" w:rsidRDefault="003C5C3B" w:rsidP="003C5C3B">
            <w:pPr>
              <w:jc w:val="center"/>
              <w:rPr>
                <w:rFonts w:ascii="Verdana" w:hAnsi="Verdana"/>
                <w:b/>
                <w:sz w:val="18"/>
                <w:szCs w:val="18"/>
              </w:rPr>
            </w:pPr>
          </w:p>
        </w:tc>
        <w:tc>
          <w:tcPr>
            <w:tcW w:w="1417" w:type="dxa"/>
            <w:vMerge/>
            <w:tcBorders>
              <w:left w:val="single" w:sz="8" w:space="0" w:color="000000"/>
              <w:bottom w:val="single" w:sz="8" w:space="0" w:color="000000"/>
              <w:right w:val="single" w:sz="8" w:space="0" w:color="000000"/>
            </w:tcBorders>
          </w:tcPr>
          <w:p w14:paraId="7CD3ACFD" w14:textId="77777777" w:rsidR="003C5C3B" w:rsidRPr="00233145" w:rsidRDefault="003C5C3B" w:rsidP="003C5C3B">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tcPr>
          <w:p w14:paraId="10DBAEC7" w14:textId="13BE0BB4" w:rsidR="003C5C3B" w:rsidRPr="00233145" w:rsidRDefault="003C5C3B" w:rsidP="003C5C3B">
            <w:pPr>
              <w:jc w:val="center"/>
              <w:rPr>
                <w:rFonts w:ascii="Verdana" w:hAnsi="Verdana"/>
                <w:sz w:val="18"/>
                <w:szCs w:val="18"/>
              </w:rPr>
            </w:pPr>
          </w:p>
        </w:tc>
        <w:tc>
          <w:tcPr>
            <w:tcW w:w="9214"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tcPr>
          <w:p w14:paraId="56CCC116" w14:textId="071B2CC0" w:rsidR="003C5C3B" w:rsidRPr="006C5B57" w:rsidRDefault="003C5C3B" w:rsidP="003C5C3B">
            <w:pPr>
              <w:rPr>
                <w:rFonts w:ascii="Verdana" w:hAnsi="Verdana"/>
                <w:color w:val="FF0000"/>
                <w:sz w:val="18"/>
                <w:szCs w:val="18"/>
              </w:rPr>
            </w:pPr>
            <w:r w:rsidRPr="00CF16A0">
              <w:rPr>
                <w:rFonts w:ascii="Verdana" w:hAnsi="Verdana"/>
                <w:sz w:val="18"/>
                <w:szCs w:val="18"/>
              </w:rPr>
              <w:t xml:space="preserve">Trustee to confirm with ACL that Applicants have exhausted all their efforts in applying for slots through </w:t>
            </w:r>
            <w:r w:rsidRPr="00233145">
              <w:rPr>
                <w:rFonts w:ascii="Verdana" w:hAnsi="Verdana"/>
                <w:sz w:val="18"/>
                <w:szCs w:val="18"/>
              </w:rPr>
              <w:t>the General Slot Allocation Procedure</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tcPr>
          <w:p w14:paraId="08185D0F" w14:textId="77777777" w:rsidR="003C5C3B" w:rsidRDefault="003C5C3B" w:rsidP="003C5C3B">
            <w:pPr>
              <w:jc w:val="center"/>
              <w:rPr>
                <w:rFonts w:ascii="Verdana" w:hAnsi="Verdana"/>
                <w:sz w:val="18"/>
                <w:szCs w:val="18"/>
              </w:rPr>
            </w:pPr>
          </w:p>
        </w:tc>
      </w:tr>
      <w:tr w:rsidR="003C5C3B" w:rsidRPr="000C0704" w14:paraId="57FDFE9D" w14:textId="77777777" w:rsidTr="008305E8">
        <w:trPr>
          <w:trHeight w:val="282"/>
        </w:trPr>
        <w:tc>
          <w:tcPr>
            <w:tcW w:w="983" w:type="dxa"/>
            <w:tcBorders>
              <w:top w:val="single" w:sz="8" w:space="0" w:color="000000"/>
              <w:left w:val="single" w:sz="8" w:space="0" w:color="000000"/>
              <w:bottom w:val="single" w:sz="8" w:space="0" w:color="000000"/>
              <w:right w:val="single" w:sz="8" w:space="0" w:color="000000"/>
            </w:tcBorders>
            <w:shd w:val="clear" w:color="auto" w:fill="B8CCE4"/>
            <w:tcMar>
              <w:top w:w="15" w:type="dxa"/>
              <w:left w:w="50" w:type="dxa"/>
              <w:bottom w:w="0" w:type="dxa"/>
              <w:right w:w="50" w:type="dxa"/>
            </w:tcMar>
            <w:hideMark/>
          </w:tcPr>
          <w:p w14:paraId="57FDFE99" w14:textId="2A235569" w:rsidR="003C5C3B" w:rsidRPr="00233145" w:rsidRDefault="003C5C3B" w:rsidP="003C5C3B">
            <w:pPr>
              <w:jc w:val="center"/>
              <w:rPr>
                <w:rFonts w:ascii="Verdana" w:hAnsi="Verdana"/>
                <w:sz w:val="18"/>
                <w:szCs w:val="18"/>
              </w:rPr>
            </w:pPr>
          </w:p>
        </w:tc>
        <w:tc>
          <w:tcPr>
            <w:tcW w:w="12190" w:type="dxa"/>
            <w:gridSpan w:val="3"/>
            <w:tcBorders>
              <w:top w:val="single" w:sz="8" w:space="0" w:color="000000"/>
              <w:left w:val="single" w:sz="8" w:space="0" w:color="000000"/>
              <w:bottom w:val="single" w:sz="8" w:space="0" w:color="000000"/>
              <w:right w:val="single" w:sz="8" w:space="0" w:color="000000"/>
            </w:tcBorders>
            <w:shd w:val="clear" w:color="auto" w:fill="B8CCE4"/>
          </w:tcPr>
          <w:p w14:paraId="57FDFE9A" w14:textId="2D582A37" w:rsidR="003C5C3B" w:rsidRPr="00233145" w:rsidRDefault="00714528" w:rsidP="003C5C3B">
            <w:pPr>
              <w:keepNext/>
              <w:rPr>
                <w:rFonts w:ascii="Verdana" w:hAnsi="Verdana"/>
                <w:sz w:val="18"/>
                <w:szCs w:val="18"/>
              </w:rPr>
            </w:pPr>
            <w:r>
              <w:rPr>
                <w:rFonts w:ascii="Verdana" w:hAnsi="Verdana"/>
                <w:b/>
                <w:bCs/>
                <w:sz w:val="18"/>
                <w:szCs w:val="18"/>
              </w:rPr>
              <w:t>13</w:t>
            </w:r>
            <w:r w:rsidR="003C5C3B" w:rsidRPr="00E63E59">
              <w:rPr>
                <w:rFonts w:ascii="Verdana" w:hAnsi="Verdana"/>
                <w:b/>
                <w:bCs/>
                <w:sz w:val="18"/>
                <w:szCs w:val="18"/>
              </w:rPr>
              <w:t xml:space="preserve"> </w:t>
            </w:r>
            <w:r w:rsidR="003C5C3B">
              <w:rPr>
                <w:rFonts w:ascii="Verdana" w:hAnsi="Verdana"/>
                <w:b/>
                <w:bCs/>
                <w:sz w:val="18"/>
                <w:szCs w:val="18"/>
              </w:rPr>
              <w:t xml:space="preserve">June – </w:t>
            </w:r>
            <w:r w:rsidR="003C5C3B" w:rsidRPr="00233145">
              <w:rPr>
                <w:rFonts w:ascii="Verdana" w:hAnsi="Verdana"/>
                <w:b/>
                <w:bCs/>
                <w:sz w:val="18"/>
                <w:szCs w:val="18"/>
              </w:rPr>
              <w:t xml:space="preserve">IATA </w:t>
            </w:r>
            <w:r w:rsidR="003C5C3B">
              <w:rPr>
                <w:rFonts w:ascii="Verdana" w:hAnsi="Verdana"/>
                <w:b/>
                <w:bCs/>
                <w:sz w:val="18"/>
                <w:szCs w:val="18"/>
              </w:rPr>
              <w:t xml:space="preserve">slot conference opens </w:t>
            </w:r>
          </w:p>
        </w:tc>
        <w:tc>
          <w:tcPr>
            <w:tcW w:w="1417" w:type="dxa"/>
            <w:tcBorders>
              <w:top w:val="single" w:sz="8" w:space="0" w:color="000000"/>
              <w:left w:val="single" w:sz="8" w:space="0" w:color="000000"/>
              <w:bottom w:val="single" w:sz="8" w:space="0" w:color="000000"/>
              <w:right w:val="single" w:sz="8" w:space="0" w:color="000000"/>
            </w:tcBorders>
            <w:shd w:val="clear" w:color="auto" w:fill="B8CCE4"/>
            <w:tcMar>
              <w:top w:w="15" w:type="dxa"/>
              <w:left w:w="50" w:type="dxa"/>
              <w:bottom w:w="0" w:type="dxa"/>
              <w:right w:w="50" w:type="dxa"/>
            </w:tcMar>
          </w:tcPr>
          <w:p w14:paraId="57FDFE9B" w14:textId="77777777" w:rsidR="003C5C3B" w:rsidRPr="00C37D90" w:rsidRDefault="003C5C3B" w:rsidP="003C5C3B">
            <w:pPr>
              <w:jc w:val="center"/>
              <w:rPr>
                <w:rFonts w:ascii="Verdana" w:hAnsi="Verdana"/>
                <w:sz w:val="18"/>
              </w:rPr>
            </w:pPr>
          </w:p>
        </w:tc>
      </w:tr>
      <w:tr w:rsidR="003C5C3B" w:rsidRPr="000C0704" w14:paraId="57FDFEA4" w14:textId="77777777" w:rsidTr="008305E8">
        <w:trPr>
          <w:trHeight w:val="426"/>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14:paraId="57FDFE9E" w14:textId="77777777" w:rsidR="003C5C3B" w:rsidRPr="00233145" w:rsidRDefault="003C5C3B" w:rsidP="003C5C3B">
            <w:pPr>
              <w:jc w:val="center"/>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14:paraId="12E1622B" w14:textId="2A5858FF" w:rsidR="003C5C3B" w:rsidRPr="00233145" w:rsidRDefault="00BD3DA4" w:rsidP="003C5C3B">
            <w:pPr>
              <w:jc w:val="center"/>
              <w:rPr>
                <w:rFonts w:ascii="Verdana" w:hAnsi="Verdana"/>
                <w:sz w:val="18"/>
                <w:szCs w:val="18"/>
              </w:rPr>
            </w:pPr>
            <w:r>
              <w:rPr>
                <w:rFonts w:ascii="Verdana" w:hAnsi="Verdana"/>
                <w:sz w:val="18"/>
                <w:szCs w:val="18"/>
              </w:rPr>
              <w:t xml:space="preserve">13 – 15 June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14:paraId="57FDFE9F" w14:textId="124C46F1" w:rsidR="003C5C3B" w:rsidRPr="00233145" w:rsidRDefault="003C5C3B" w:rsidP="003C5C3B">
            <w:pPr>
              <w:jc w:val="center"/>
              <w:rPr>
                <w:rFonts w:ascii="Verdana" w:hAnsi="Verdana"/>
                <w:sz w:val="18"/>
                <w:szCs w:val="18"/>
              </w:rPr>
            </w:pPr>
            <w:r w:rsidRPr="00233145">
              <w:rPr>
                <w:rFonts w:ascii="Verdana" w:hAnsi="Verdana"/>
                <w:sz w:val="18"/>
                <w:szCs w:val="18"/>
              </w:rPr>
              <w:t>1.4.11</w:t>
            </w:r>
          </w:p>
        </w:tc>
        <w:tc>
          <w:tcPr>
            <w:tcW w:w="9214"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14:paraId="57FDFEA0" w14:textId="367A3E3E" w:rsidR="003C5C3B" w:rsidRPr="00233145" w:rsidRDefault="003C5C3B" w:rsidP="003C5C3B">
            <w:pPr>
              <w:keepNext/>
              <w:rPr>
                <w:rFonts w:ascii="Verdana" w:hAnsi="Verdana"/>
                <w:sz w:val="18"/>
                <w:szCs w:val="18"/>
              </w:rPr>
            </w:pPr>
            <w:r w:rsidRPr="00233145">
              <w:rPr>
                <w:rFonts w:ascii="Verdana" w:hAnsi="Verdana"/>
                <w:sz w:val="18"/>
                <w:szCs w:val="18"/>
              </w:rPr>
              <w:t>Applicant must try and improve its slots through the General Slot Allocation Procedure</w:t>
            </w:r>
            <w:r>
              <w:rPr>
                <w:rFonts w:ascii="Verdana" w:hAnsi="Verdana"/>
                <w:sz w:val="18"/>
                <w:szCs w:val="18"/>
              </w:rPr>
              <w:t>.</w:t>
            </w:r>
          </w:p>
          <w:p w14:paraId="57FDFEA1" w14:textId="0AB299E2" w:rsidR="003C5C3B" w:rsidRPr="00233145" w:rsidRDefault="003C5C3B" w:rsidP="003C5C3B">
            <w:pPr>
              <w:keepNext/>
              <w:rPr>
                <w:rFonts w:ascii="Verdana" w:hAnsi="Verdana"/>
                <w:sz w:val="18"/>
                <w:szCs w:val="18"/>
              </w:rPr>
            </w:pPr>
            <w:r>
              <w:rPr>
                <w:rFonts w:ascii="Verdana" w:hAnsi="Verdana"/>
                <w:sz w:val="18"/>
                <w:szCs w:val="18"/>
              </w:rPr>
              <w:t>M</w:t>
            </w:r>
            <w:r w:rsidRPr="00233145">
              <w:rPr>
                <w:rFonts w:ascii="Verdana" w:hAnsi="Verdana"/>
                <w:sz w:val="18"/>
                <w:szCs w:val="18"/>
              </w:rPr>
              <w:t>T evaluates any changes to Draft Slot Release Agreement Key Terms; either not material or</w:t>
            </w:r>
            <w:r>
              <w:rPr>
                <w:rFonts w:ascii="Verdana" w:hAnsi="Verdana"/>
                <w:sz w:val="18"/>
                <w:szCs w:val="18"/>
              </w:rPr>
              <w:t>,</w:t>
            </w:r>
            <w:r w:rsidRPr="00233145">
              <w:rPr>
                <w:rFonts w:ascii="Verdana" w:hAnsi="Verdana"/>
                <w:sz w:val="18"/>
                <w:szCs w:val="18"/>
              </w:rPr>
              <w:t xml:space="preserve"> if material, approved by the Commission</w:t>
            </w:r>
            <w:r>
              <w:rPr>
                <w:rFonts w:ascii="Verdana" w:hAnsi="Verdana"/>
                <w:sz w:val="18"/>
                <w:szCs w:val="18"/>
              </w:rPr>
              <w:t>.</w:t>
            </w:r>
            <w:r w:rsidRPr="00233145">
              <w:rPr>
                <w:rFonts w:ascii="Verdana" w:hAnsi="Verdana"/>
                <w:sz w:val="18"/>
                <w:szCs w:val="18"/>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tcPr>
          <w:p w14:paraId="57FDFEA2" w14:textId="1A5B0063" w:rsidR="003C5C3B" w:rsidRPr="00C37D90" w:rsidRDefault="003C5C3B" w:rsidP="003C5C3B">
            <w:pPr>
              <w:jc w:val="center"/>
              <w:rPr>
                <w:rFonts w:ascii="Verdana" w:hAnsi="Verdana"/>
                <w:sz w:val="18"/>
              </w:rPr>
            </w:pPr>
            <w:r>
              <w:rPr>
                <w:rFonts w:ascii="Verdana" w:hAnsi="Verdana"/>
                <w:sz w:val="18"/>
                <w:szCs w:val="18"/>
              </w:rPr>
              <w:t>2</w:t>
            </w:r>
            <w:r w:rsidR="00A41EA9">
              <w:rPr>
                <w:rFonts w:ascii="Verdana" w:hAnsi="Verdana"/>
                <w:sz w:val="18"/>
                <w:szCs w:val="18"/>
              </w:rPr>
              <w:t>4</w:t>
            </w:r>
          </w:p>
        </w:tc>
      </w:tr>
      <w:tr w:rsidR="003C5C3B" w:rsidRPr="000C0704" w14:paraId="57FDFEA9" w14:textId="77777777" w:rsidTr="008305E8">
        <w:trPr>
          <w:trHeight w:val="169"/>
        </w:trPr>
        <w:tc>
          <w:tcPr>
            <w:tcW w:w="983" w:type="dxa"/>
            <w:tcBorders>
              <w:top w:val="single" w:sz="8" w:space="0" w:color="000000"/>
              <w:left w:val="single" w:sz="8" w:space="0" w:color="000000"/>
              <w:bottom w:val="single" w:sz="8" w:space="0" w:color="000000"/>
              <w:right w:val="single" w:sz="8" w:space="0" w:color="000000"/>
            </w:tcBorders>
            <w:shd w:val="clear" w:color="auto" w:fill="B8CCE4"/>
            <w:tcMar>
              <w:top w:w="15" w:type="dxa"/>
              <w:left w:w="50" w:type="dxa"/>
              <w:bottom w:w="0" w:type="dxa"/>
              <w:right w:w="50" w:type="dxa"/>
            </w:tcMar>
            <w:hideMark/>
          </w:tcPr>
          <w:p w14:paraId="57FDFEA5" w14:textId="77777777" w:rsidR="003C5C3B" w:rsidRPr="00233145" w:rsidRDefault="003C5C3B" w:rsidP="003C5C3B">
            <w:pPr>
              <w:jc w:val="center"/>
              <w:rPr>
                <w:rFonts w:ascii="Verdana" w:hAnsi="Verdana"/>
                <w:sz w:val="18"/>
                <w:szCs w:val="18"/>
              </w:rPr>
            </w:pPr>
            <w:r w:rsidRPr="00233145">
              <w:rPr>
                <w:rFonts w:ascii="Verdana" w:hAnsi="Verdana"/>
                <w:b/>
                <w:bCs/>
                <w:sz w:val="18"/>
                <w:szCs w:val="18"/>
              </w:rPr>
              <w:t>Y</w:t>
            </w:r>
          </w:p>
        </w:tc>
        <w:tc>
          <w:tcPr>
            <w:tcW w:w="12190" w:type="dxa"/>
            <w:gridSpan w:val="3"/>
            <w:tcBorders>
              <w:top w:val="single" w:sz="8" w:space="0" w:color="000000"/>
              <w:left w:val="single" w:sz="8" w:space="0" w:color="000000"/>
              <w:bottom w:val="single" w:sz="8" w:space="0" w:color="000000"/>
              <w:right w:val="single" w:sz="8" w:space="0" w:color="000000"/>
            </w:tcBorders>
            <w:shd w:val="clear" w:color="auto" w:fill="B8CCE4"/>
          </w:tcPr>
          <w:p w14:paraId="57FDFEA6" w14:textId="302A8FF6" w:rsidR="003C5C3B" w:rsidRPr="00233145" w:rsidRDefault="00714528" w:rsidP="003C5C3B">
            <w:pPr>
              <w:keepNext/>
              <w:rPr>
                <w:rFonts w:ascii="Verdana" w:hAnsi="Verdana"/>
                <w:sz w:val="18"/>
                <w:szCs w:val="18"/>
              </w:rPr>
            </w:pPr>
            <w:r>
              <w:rPr>
                <w:rFonts w:ascii="Verdana" w:hAnsi="Verdana"/>
                <w:b/>
                <w:bCs/>
                <w:sz w:val="18"/>
                <w:szCs w:val="18"/>
              </w:rPr>
              <w:t>15</w:t>
            </w:r>
            <w:r w:rsidR="003C5C3B" w:rsidRPr="00E63E59">
              <w:rPr>
                <w:rFonts w:ascii="Verdana" w:hAnsi="Verdana"/>
                <w:b/>
                <w:bCs/>
                <w:sz w:val="18"/>
                <w:szCs w:val="18"/>
              </w:rPr>
              <w:t xml:space="preserve"> </w:t>
            </w:r>
            <w:r w:rsidR="003C5C3B">
              <w:rPr>
                <w:rFonts w:ascii="Verdana" w:hAnsi="Verdana"/>
                <w:b/>
                <w:bCs/>
                <w:sz w:val="18"/>
                <w:szCs w:val="18"/>
              </w:rPr>
              <w:t>June</w:t>
            </w:r>
            <w:r w:rsidR="003C5C3B" w:rsidRPr="00E63E59">
              <w:rPr>
                <w:rFonts w:ascii="Verdana" w:hAnsi="Verdana"/>
                <w:b/>
                <w:bCs/>
                <w:sz w:val="18"/>
                <w:szCs w:val="18"/>
              </w:rPr>
              <w:t xml:space="preserve"> </w:t>
            </w:r>
            <w:r w:rsidR="003C5C3B">
              <w:rPr>
                <w:rFonts w:ascii="Verdana" w:hAnsi="Verdana"/>
                <w:b/>
                <w:bCs/>
                <w:sz w:val="18"/>
                <w:szCs w:val="18"/>
              </w:rPr>
              <w:t xml:space="preserve">– </w:t>
            </w:r>
            <w:r w:rsidR="003C5C3B" w:rsidRPr="00233145">
              <w:rPr>
                <w:rFonts w:ascii="Verdana" w:hAnsi="Verdana"/>
                <w:b/>
                <w:bCs/>
                <w:sz w:val="18"/>
                <w:szCs w:val="18"/>
              </w:rPr>
              <w:t xml:space="preserve">IATA </w:t>
            </w:r>
            <w:r w:rsidR="003C5C3B">
              <w:rPr>
                <w:rFonts w:ascii="Verdana" w:hAnsi="Verdana"/>
                <w:b/>
                <w:bCs/>
                <w:sz w:val="18"/>
                <w:szCs w:val="18"/>
              </w:rPr>
              <w:t>slot conference closes</w:t>
            </w:r>
          </w:p>
        </w:tc>
        <w:tc>
          <w:tcPr>
            <w:tcW w:w="1417" w:type="dxa"/>
            <w:tcBorders>
              <w:top w:val="single" w:sz="8" w:space="0" w:color="000000"/>
              <w:left w:val="single" w:sz="8" w:space="0" w:color="000000"/>
              <w:bottom w:val="single" w:sz="8" w:space="0" w:color="000000"/>
              <w:right w:val="single" w:sz="8" w:space="0" w:color="000000"/>
            </w:tcBorders>
            <w:shd w:val="clear" w:color="auto" w:fill="B8CCE4"/>
            <w:tcMar>
              <w:top w:w="15" w:type="dxa"/>
              <w:left w:w="50" w:type="dxa"/>
              <w:bottom w:w="0" w:type="dxa"/>
              <w:right w:w="50" w:type="dxa"/>
            </w:tcMar>
          </w:tcPr>
          <w:p w14:paraId="57FDFEA7" w14:textId="77777777" w:rsidR="003C5C3B" w:rsidRPr="00C37D90" w:rsidRDefault="003C5C3B" w:rsidP="003C5C3B">
            <w:pPr>
              <w:jc w:val="center"/>
              <w:rPr>
                <w:rFonts w:ascii="Verdana" w:hAnsi="Verdana"/>
                <w:sz w:val="18"/>
              </w:rPr>
            </w:pPr>
          </w:p>
        </w:tc>
      </w:tr>
      <w:tr w:rsidR="003C5C3B" w:rsidRPr="000C0704" w14:paraId="57FDFEAF" w14:textId="77777777" w:rsidTr="008305E8">
        <w:trPr>
          <w:trHeight w:val="282"/>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14:paraId="57FDFEAA" w14:textId="6374AF87" w:rsidR="003C5C3B" w:rsidRPr="00233145" w:rsidRDefault="003C5C3B" w:rsidP="003C5C3B">
            <w:pPr>
              <w:jc w:val="center"/>
              <w:rPr>
                <w:rFonts w:ascii="Verdana" w:hAnsi="Verdana"/>
                <w:b/>
                <w:sz w:val="18"/>
                <w:szCs w:val="18"/>
              </w:rPr>
            </w:pPr>
            <w:r w:rsidRPr="00233145">
              <w:rPr>
                <w:rFonts w:ascii="Verdana" w:hAnsi="Verdana"/>
                <w:b/>
                <w:sz w:val="18"/>
                <w:szCs w:val="18"/>
              </w:rPr>
              <w:t>Y+2</w:t>
            </w:r>
          </w:p>
        </w:tc>
        <w:tc>
          <w:tcPr>
            <w:tcW w:w="1417" w:type="dxa"/>
            <w:tcBorders>
              <w:top w:val="single" w:sz="8" w:space="0" w:color="000000"/>
              <w:left w:val="single" w:sz="8" w:space="0" w:color="000000"/>
              <w:bottom w:val="single" w:sz="8" w:space="0" w:color="000000"/>
              <w:right w:val="single" w:sz="8" w:space="0" w:color="000000"/>
            </w:tcBorders>
          </w:tcPr>
          <w:p w14:paraId="28980284" w14:textId="48EFE015" w:rsidR="003C5C3B" w:rsidRPr="00233145" w:rsidRDefault="00BD3DA4" w:rsidP="003C5C3B">
            <w:pPr>
              <w:jc w:val="center"/>
              <w:rPr>
                <w:rFonts w:ascii="Verdana" w:hAnsi="Verdana"/>
                <w:sz w:val="18"/>
                <w:szCs w:val="18"/>
              </w:rPr>
            </w:pPr>
            <w:r>
              <w:rPr>
                <w:rFonts w:ascii="Verdana" w:hAnsi="Verdana"/>
                <w:sz w:val="18"/>
                <w:szCs w:val="18"/>
              </w:rPr>
              <w:t>29 June</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14:paraId="57FDFEAB" w14:textId="1D592B8B" w:rsidR="003C5C3B" w:rsidRPr="00233145" w:rsidRDefault="003C5C3B" w:rsidP="003C5C3B">
            <w:pPr>
              <w:jc w:val="center"/>
              <w:rPr>
                <w:rFonts w:ascii="Verdana" w:hAnsi="Verdana"/>
                <w:sz w:val="18"/>
                <w:szCs w:val="18"/>
              </w:rPr>
            </w:pPr>
            <w:r w:rsidRPr="00233145">
              <w:rPr>
                <w:rFonts w:ascii="Verdana" w:hAnsi="Verdana"/>
                <w:sz w:val="18"/>
                <w:szCs w:val="18"/>
              </w:rPr>
              <w:t>1.4.12</w:t>
            </w:r>
          </w:p>
        </w:tc>
        <w:tc>
          <w:tcPr>
            <w:tcW w:w="9214"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14:paraId="57FDFEAC" w14:textId="365E8478" w:rsidR="003C5C3B" w:rsidRPr="00233145" w:rsidRDefault="003C5C3B" w:rsidP="003C5C3B">
            <w:pPr>
              <w:keepNext/>
              <w:rPr>
                <w:rFonts w:ascii="Verdana" w:hAnsi="Verdana"/>
                <w:sz w:val="18"/>
                <w:szCs w:val="18"/>
              </w:rPr>
            </w:pPr>
            <w:r w:rsidRPr="00233145">
              <w:rPr>
                <w:rFonts w:ascii="Verdana" w:hAnsi="Verdana"/>
                <w:sz w:val="18"/>
                <w:szCs w:val="18"/>
              </w:rPr>
              <w:t xml:space="preserve">Applicants confirm to MT whether they will operate Slots offered by </w:t>
            </w:r>
            <w:r>
              <w:rPr>
                <w:rFonts w:ascii="Verdana" w:hAnsi="Verdana"/>
                <w:sz w:val="18"/>
                <w:szCs w:val="18"/>
              </w:rPr>
              <w:t>IAG</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tcPr>
          <w:p w14:paraId="57FDFEAD" w14:textId="35747473" w:rsidR="003C5C3B" w:rsidRPr="00C37D90" w:rsidRDefault="003C5C3B" w:rsidP="003C5C3B">
            <w:pPr>
              <w:jc w:val="center"/>
              <w:rPr>
                <w:rFonts w:ascii="Verdana" w:hAnsi="Verdana"/>
                <w:sz w:val="18"/>
                <w:szCs w:val="18"/>
              </w:rPr>
            </w:pPr>
            <w:r>
              <w:rPr>
                <w:rFonts w:ascii="Verdana" w:hAnsi="Verdana"/>
                <w:sz w:val="18"/>
                <w:szCs w:val="18"/>
              </w:rPr>
              <w:t>2</w:t>
            </w:r>
            <w:r w:rsidR="00A41EA9">
              <w:rPr>
                <w:rFonts w:ascii="Verdana" w:hAnsi="Verdana"/>
                <w:sz w:val="18"/>
                <w:szCs w:val="18"/>
              </w:rPr>
              <w:t>6</w:t>
            </w:r>
          </w:p>
        </w:tc>
      </w:tr>
      <w:tr w:rsidR="003C5C3B" w:rsidRPr="000C0704" w14:paraId="57FDFEB5" w14:textId="77777777" w:rsidTr="008305E8">
        <w:trPr>
          <w:trHeight w:val="850"/>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14:paraId="57FDFEB0" w14:textId="5208AD8D" w:rsidR="003C5C3B" w:rsidRPr="00233145" w:rsidRDefault="003C5C3B" w:rsidP="003C5C3B">
            <w:pPr>
              <w:jc w:val="center"/>
              <w:rPr>
                <w:rFonts w:ascii="Verdana" w:hAnsi="Verdana"/>
                <w:b/>
                <w:sz w:val="18"/>
                <w:szCs w:val="18"/>
              </w:rPr>
            </w:pPr>
            <w:r w:rsidRPr="00233145">
              <w:rPr>
                <w:rFonts w:ascii="Verdana" w:hAnsi="Verdana"/>
                <w:b/>
                <w:sz w:val="18"/>
                <w:szCs w:val="18"/>
              </w:rPr>
              <w:t>Y+3</w:t>
            </w:r>
          </w:p>
        </w:tc>
        <w:tc>
          <w:tcPr>
            <w:tcW w:w="1417" w:type="dxa"/>
            <w:tcBorders>
              <w:top w:val="single" w:sz="8" w:space="0" w:color="000000"/>
              <w:left w:val="single" w:sz="8" w:space="0" w:color="000000"/>
              <w:bottom w:val="single" w:sz="8" w:space="0" w:color="000000"/>
              <w:right w:val="single" w:sz="8" w:space="0" w:color="000000"/>
            </w:tcBorders>
          </w:tcPr>
          <w:p w14:paraId="44EEBEEF" w14:textId="683AEB7A" w:rsidR="003C5C3B" w:rsidRPr="00233145" w:rsidRDefault="00BD3DA4" w:rsidP="003C5C3B">
            <w:pPr>
              <w:jc w:val="center"/>
              <w:rPr>
                <w:rFonts w:ascii="Verdana" w:hAnsi="Verdana"/>
                <w:sz w:val="18"/>
                <w:szCs w:val="18"/>
              </w:rPr>
            </w:pPr>
            <w:r>
              <w:rPr>
                <w:rFonts w:ascii="Verdana" w:hAnsi="Verdana"/>
                <w:sz w:val="18"/>
                <w:szCs w:val="18"/>
              </w:rPr>
              <w:t>6</w:t>
            </w:r>
            <w:r w:rsidR="003C5C3B">
              <w:rPr>
                <w:rFonts w:ascii="Verdana" w:hAnsi="Verdana"/>
                <w:sz w:val="18"/>
                <w:szCs w:val="18"/>
              </w:rPr>
              <w:t xml:space="preserve"> July</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14:paraId="57FDFEB1" w14:textId="00E83E94" w:rsidR="003C5C3B" w:rsidRPr="00233145" w:rsidRDefault="003C5C3B" w:rsidP="003C5C3B">
            <w:pPr>
              <w:jc w:val="center"/>
              <w:rPr>
                <w:rFonts w:ascii="Verdana" w:hAnsi="Verdana"/>
                <w:sz w:val="18"/>
                <w:szCs w:val="18"/>
              </w:rPr>
            </w:pPr>
            <w:r w:rsidRPr="00233145">
              <w:rPr>
                <w:rFonts w:ascii="Verdana" w:hAnsi="Verdana"/>
                <w:sz w:val="18"/>
                <w:szCs w:val="18"/>
              </w:rPr>
              <w:t>1.4.13</w:t>
            </w:r>
          </w:p>
        </w:tc>
        <w:tc>
          <w:tcPr>
            <w:tcW w:w="9214"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14:paraId="57FDFEB2" w14:textId="630CBF64" w:rsidR="003C5C3B" w:rsidRPr="00233145" w:rsidRDefault="003C5C3B" w:rsidP="003C5C3B">
            <w:pPr>
              <w:keepNext/>
              <w:rPr>
                <w:rFonts w:ascii="Verdana" w:hAnsi="Verdana"/>
                <w:sz w:val="18"/>
                <w:szCs w:val="18"/>
              </w:rPr>
            </w:pPr>
            <w:r w:rsidRPr="00233145">
              <w:rPr>
                <w:rFonts w:ascii="Verdana" w:hAnsi="Verdana"/>
                <w:sz w:val="18"/>
                <w:szCs w:val="18"/>
              </w:rPr>
              <w:t>MT confirms to the highest ranked Applicant that it is entitled to receive slots and that IAG are required to release the slots subject to the Slot Release Agreement being reviewed by the MT and approved by the Commission</w:t>
            </w:r>
            <w:r>
              <w:rPr>
                <w:rFonts w:ascii="Verdana" w:hAnsi="Verdana"/>
                <w:sz w:val="18"/>
                <w:szCs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tcPr>
          <w:p w14:paraId="57FDFEB3" w14:textId="376891B8" w:rsidR="003C5C3B" w:rsidRPr="00C37D90" w:rsidRDefault="003C5C3B" w:rsidP="003C5C3B">
            <w:pPr>
              <w:jc w:val="center"/>
              <w:rPr>
                <w:rFonts w:ascii="Verdana" w:hAnsi="Verdana"/>
                <w:sz w:val="18"/>
                <w:szCs w:val="18"/>
              </w:rPr>
            </w:pPr>
            <w:r>
              <w:rPr>
                <w:rFonts w:ascii="Verdana" w:hAnsi="Verdana"/>
                <w:sz w:val="18"/>
                <w:szCs w:val="18"/>
              </w:rPr>
              <w:t>2</w:t>
            </w:r>
            <w:r w:rsidR="00A41EA9">
              <w:rPr>
                <w:rFonts w:ascii="Verdana" w:hAnsi="Verdana"/>
                <w:sz w:val="18"/>
                <w:szCs w:val="18"/>
              </w:rPr>
              <w:t>7</w:t>
            </w:r>
          </w:p>
        </w:tc>
      </w:tr>
      <w:tr w:rsidR="003C5C3B" w:rsidRPr="0024004A" w14:paraId="57FDFEBC" w14:textId="77777777" w:rsidTr="008305E8">
        <w:trPr>
          <w:trHeight w:val="407"/>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14:paraId="57FDFEB6" w14:textId="28906095" w:rsidR="003C5C3B" w:rsidRPr="00233145" w:rsidRDefault="003C5C3B" w:rsidP="003C5C3B">
            <w:pPr>
              <w:jc w:val="center"/>
              <w:rPr>
                <w:rFonts w:ascii="Verdana" w:hAnsi="Verdana"/>
                <w:b/>
                <w:sz w:val="18"/>
                <w:szCs w:val="18"/>
              </w:rPr>
            </w:pPr>
            <w:r w:rsidRPr="00233145">
              <w:rPr>
                <w:rFonts w:ascii="Verdana" w:hAnsi="Verdana"/>
                <w:b/>
                <w:sz w:val="18"/>
                <w:szCs w:val="18"/>
              </w:rPr>
              <w:t>Y+</w:t>
            </w:r>
            <w:r>
              <w:rPr>
                <w:rFonts w:ascii="Verdana" w:hAnsi="Verdana"/>
                <w:b/>
                <w:sz w:val="18"/>
                <w:szCs w:val="18"/>
              </w:rPr>
              <w:t>5</w:t>
            </w:r>
          </w:p>
        </w:tc>
        <w:tc>
          <w:tcPr>
            <w:tcW w:w="1417" w:type="dxa"/>
            <w:tcBorders>
              <w:top w:val="single" w:sz="8" w:space="0" w:color="000000"/>
              <w:left w:val="single" w:sz="8" w:space="0" w:color="000000"/>
              <w:bottom w:val="single" w:sz="8" w:space="0" w:color="000000"/>
              <w:right w:val="single" w:sz="8" w:space="0" w:color="000000"/>
            </w:tcBorders>
          </w:tcPr>
          <w:p w14:paraId="4BC6FA0E" w14:textId="49CC0636" w:rsidR="003C5C3B" w:rsidRPr="00233145" w:rsidRDefault="003C5C3B" w:rsidP="003C5C3B">
            <w:pPr>
              <w:jc w:val="center"/>
              <w:rPr>
                <w:rFonts w:ascii="Verdana" w:hAnsi="Verdana"/>
                <w:sz w:val="18"/>
                <w:szCs w:val="18"/>
              </w:rPr>
            </w:pPr>
            <w:r>
              <w:rPr>
                <w:rFonts w:ascii="Verdana" w:hAnsi="Verdana"/>
                <w:sz w:val="18"/>
                <w:szCs w:val="18"/>
              </w:rPr>
              <w:t>2</w:t>
            </w:r>
            <w:r w:rsidR="00BD3DA4">
              <w:rPr>
                <w:rFonts w:ascii="Verdana" w:hAnsi="Verdana"/>
                <w:sz w:val="18"/>
                <w:szCs w:val="18"/>
              </w:rPr>
              <w:t>0</w:t>
            </w:r>
            <w:r>
              <w:rPr>
                <w:rFonts w:ascii="Verdana" w:hAnsi="Verdana"/>
                <w:sz w:val="18"/>
                <w:szCs w:val="18"/>
              </w:rPr>
              <w:t xml:space="preserve"> July</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14:paraId="57FDFEB7" w14:textId="68B56764" w:rsidR="003C5C3B" w:rsidRPr="00233145" w:rsidRDefault="003C5C3B" w:rsidP="003C5C3B">
            <w:pPr>
              <w:jc w:val="center"/>
              <w:rPr>
                <w:rFonts w:ascii="Verdana" w:hAnsi="Verdana"/>
                <w:sz w:val="18"/>
                <w:szCs w:val="18"/>
              </w:rPr>
            </w:pPr>
            <w:r w:rsidRPr="00233145">
              <w:rPr>
                <w:rFonts w:ascii="Verdana" w:hAnsi="Verdana"/>
                <w:sz w:val="18"/>
                <w:szCs w:val="18"/>
              </w:rPr>
              <w:t>1.4.13</w:t>
            </w:r>
          </w:p>
        </w:tc>
        <w:tc>
          <w:tcPr>
            <w:tcW w:w="9214"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14:paraId="57FDFEB8" w14:textId="4BC2F8F2" w:rsidR="003C5C3B" w:rsidRPr="00233145" w:rsidRDefault="003C5C3B" w:rsidP="003C5C3B">
            <w:pPr>
              <w:rPr>
                <w:rFonts w:ascii="Verdana" w:hAnsi="Verdana"/>
                <w:sz w:val="18"/>
                <w:szCs w:val="18"/>
              </w:rPr>
            </w:pPr>
            <w:r w:rsidRPr="00233145">
              <w:rPr>
                <w:rFonts w:ascii="Verdana" w:hAnsi="Verdana"/>
                <w:sz w:val="18"/>
                <w:szCs w:val="18"/>
              </w:rPr>
              <w:t>Slot Release Agreement signed and slot release completed</w:t>
            </w:r>
            <w:r>
              <w:rPr>
                <w:rFonts w:ascii="Verdana" w:hAnsi="Verdana"/>
                <w:sz w:val="18"/>
                <w:szCs w:val="18"/>
              </w:rPr>
              <w:t>.</w:t>
            </w:r>
          </w:p>
          <w:p w14:paraId="57FDFEB9" w14:textId="12EA0B58" w:rsidR="003C5C3B" w:rsidRPr="00233145" w:rsidRDefault="003C5C3B" w:rsidP="003C5C3B">
            <w:pPr>
              <w:rPr>
                <w:rFonts w:ascii="Verdana" w:hAnsi="Verdana"/>
                <w:sz w:val="18"/>
                <w:szCs w:val="18"/>
              </w:rPr>
            </w:pPr>
            <w:r>
              <w:rPr>
                <w:rFonts w:ascii="Verdana" w:hAnsi="Verdana"/>
                <w:sz w:val="18"/>
                <w:szCs w:val="18"/>
              </w:rPr>
              <w:t xml:space="preserve">ACL </w:t>
            </w:r>
            <w:r w:rsidRPr="00233145">
              <w:rPr>
                <w:rFonts w:ascii="Verdana" w:hAnsi="Verdana"/>
                <w:sz w:val="18"/>
                <w:szCs w:val="18"/>
              </w:rPr>
              <w:t xml:space="preserve">informed of </w:t>
            </w:r>
            <w:r>
              <w:rPr>
                <w:rFonts w:ascii="Verdana" w:hAnsi="Verdana"/>
                <w:sz w:val="18"/>
                <w:szCs w:val="18"/>
              </w:rPr>
              <w:t xml:space="preserve">the </w:t>
            </w:r>
            <w:r w:rsidRPr="00233145">
              <w:rPr>
                <w:rFonts w:ascii="Verdana" w:hAnsi="Verdana"/>
                <w:sz w:val="18"/>
                <w:szCs w:val="18"/>
              </w:rPr>
              <w:t>slot exchange</w:t>
            </w:r>
            <w:r>
              <w:rPr>
                <w:rFonts w:ascii="Verdana" w:hAnsi="Verdana"/>
                <w:sz w:val="18"/>
                <w:szCs w:val="18"/>
              </w:rPr>
              <w:t>.</w:t>
            </w:r>
            <w:r w:rsidRPr="00233145">
              <w:rPr>
                <w:rFonts w:ascii="Verdana" w:hAnsi="Verdana"/>
                <w:sz w:val="18"/>
                <w:szCs w:val="18"/>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tcPr>
          <w:p w14:paraId="57FDFEBA" w14:textId="33172CB8" w:rsidR="003C5C3B" w:rsidRPr="00C37D90" w:rsidRDefault="00A41EA9" w:rsidP="003C5C3B">
            <w:pPr>
              <w:jc w:val="center"/>
              <w:rPr>
                <w:rFonts w:ascii="Verdana" w:hAnsi="Verdana"/>
                <w:sz w:val="18"/>
                <w:szCs w:val="18"/>
              </w:rPr>
            </w:pPr>
            <w:r>
              <w:rPr>
                <w:rFonts w:ascii="Verdana" w:hAnsi="Verdana"/>
                <w:sz w:val="18"/>
                <w:szCs w:val="18"/>
              </w:rPr>
              <w:t>29</w:t>
            </w:r>
          </w:p>
        </w:tc>
      </w:tr>
    </w:tbl>
    <w:p w14:paraId="3DE46786" w14:textId="25588984" w:rsidR="00247708" w:rsidRDefault="00247708" w:rsidP="002F08F3"/>
    <w:sectPr w:rsidR="00247708" w:rsidSect="00192093">
      <w:headerReference w:type="even" r:id="rId11"/>
      <w:headerReference w:type="default" r:id="rId12"/>
      <w:footerReference w:type="even" r:id="rId13"/>
      <w:footerReference w:type="default" r:id="rId14"/>
      <w:headerReference w:type="first" r:id="rId15"/>
      <w:footerReference w:type="first" r:id="rId16"/>
      <w:pgSz w:w="16838" w:h="11906" w:orient="landscape"/>
      <w:pgMar w:top="184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FE76A" w14:textId="77777777" w:rsidR="000B65B0" w:rsidRDefault="000B65B0" w:rsidP="00371A4C">
      <w:pPr>
        <w:spacing w:line="240" w:lineRule="auto"/>
      </w:pPr>
      <w:r>
        <w:separator/>
      </w:r>
    </w:p>
  </w:endnote>
  <w:endnote w:type="continuationSeparator" w:id="0">
    <w:p w14:paraId="65EA1F9F" w14:textId="77777777" w:rsidR="000B65B0" w:rsidRDefault="000B65B0" w:rsidP="00371A4C">
      <w:pPr>
        <w:spacing w:line="240" w:lineRule="auto"/>
      </w:pPr>
      <w:r>
        <w:continuationSeparator/>
      </w:r>
    </w:p>
  </w:endnote>
  <w:endnote w:type="continuationNotice" w:id="1">
    <w:p w14:paraId="6821F262" w14:textId="77777777" w:rsidR="000B65B0" w:rsidRDefault="000B65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8FFD" w14:textId="77777777" w:rsidR="00D52C9A" w:rsidRDefault="00D52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A1CE" w14:textId="77777777" w:rsidR="000B65B0" w:rsidRDefault="000B6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7114" w14:textId="77777777" w:rsidR="00D52C9A" w:rsidRDefault="00D52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081F1" w14:textId="77777777" w:rsidR="000B65B0" w:rsidRDefault="000B65B0" w:rsidP="00371A4C">
      <w:pPr>
        <w:spacing w:line="240" w:lineRule="auto"/>
      </w:pPr>
      <w:r>
        <w:separator/>
      </w:r>
    </w:p>
  </w:footnote>
  <w:footnote w:type="continuationSeparator" w:id="0">
    <w:p w14:paraId="69DE18A7" w14:textId="77777777" w:rsidR="000B65B0" w:rsidRDefault="000B65B0" w:rsidP="00371A4C">
      <w:pPr>
        <w:spacing w:line="240" w:lineRule="auto"/>
      </w:pPr>
      <w:r>
        <w:continuationSeparator/>
      </w:r>
    </w:p>
  </w:footnote>
  <w:footnote w:type="continuationNotice" w:id="1">
    <w:p w14:paraId="18F6057A" w14:textId="77777777" w:rsidR="000B65B0" w:rsidRDefault="000B65B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F6B8F" w14:textId="77777777" w:rsidR="00D52C9A" w:rsidRDefault="00D52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D056" w14:textId="77777777" w:rsidR="00DB3FF4" w:rsidRDefault="00DB3FF4" w:rsidP="00DB3FF4">
    <w:pPr>
      <w:pStyle w:val="Header"/>
      <w:jc w:val="left"/>
      <w:rPr>
        <w:rFonts w:ascii="Verdana" w:hAnsi="Verdana"/>
        <w:sz w:val="18"/>
        <w:szCs w:val="18"/>
      </w:rPr>
    </w:pPr>
    <w:r>
      <w:rPr>
        <w:noProof/>
      </w:rPr>
      <w:drawing>
        <wp:inline distT="0" distB="0" distL="0" distR="0" wp14:anchorId="0C548D79" wp14:editId="22C4194D">
          <wp:extent cx="1009816" cy="157784"/>
          <wp:effectExtent l="0" t="0" r="0" b="0"/>
          <wp:docPr id="2" name="Picture 32"/>
          <wp:cNvGraphicFramePr/>
          <a:graphic xmlns:a="http://schemas.openxmlformats.org/drawingml/2006/main">
            <a:graphicData uri="http://schemas.openxmlformats.org/drawingml/2006/picture">
              <pic:pic xmlns:pic="http://schemas.openxmlformats.org/drawingml/2006/picture">
                <pic:nvPicPr>
                  <pic:cNvPr id="1" name="Picture 3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816" cy="157784"/>
                  </a:xfrm>
                  <a:prstGeom prst="rect">
                    <a:avLst/>
                  </a:prstGeom>
                  <a:noFill/>
                  <a:ln>
                    <a:noFill/>
                  </a:ln>
                </pic:spPr>
              </pic:pic>
            </a:graphicData>
          </a:graphic>
        </wp:inline>
      </w:drawing>
    </w:r>
  </w:p>
  <w:p w14:paraId="5AA059EC" w14:textId="77777777" w:rsidR="00822627" w:rsidRDefault="00822627" w:rsidP="00822627">
    <w:pPr>
      <w:pStyle w:val="Header"/>
      <w:jc w:val="right"/>
      <w:rPr>
        <w:rFonts w:ascii="Verdana" w:hAnsi="Verdana"/>
        <w:sz w:val="18"/>
        <w:szCs w:val="18"/>
      </w:rPr>
    </w:pPr>
    <w:r w:rsidRPr="0024004A">
      <w:rPr>
        <w:rFonts w:ascii="Verdana" w:hAnsi="Verdana"/>
        <w:sz w:val="18"/>
        <w:szCs w:val="18"/>
      </w:rPr>
      <w:t>DRAFT</w:t>
    </w:r>
  </w:p>
  <w:p w14:paraId="57FDFEC5" w14:textId="052FD763" w:rsidR="00DD5C54" w:rsidRPr="0024004A" w:rsidRDefault="004130EF" w:rsidP="00DD5C54">
    <w:pPr>
      <w:pStyle w:val="Header"/>
      <w:jc w:val="right"/>
      <w:rPr>
        <w:rFonts w:ascii="Verdana" w:hAnsi="Verdana"/>
        <w:sz w:val="18"/>
        <w:szCs w:val="18"/>
      </w:rPr>
    </w:pPr>
    <w:r>
      <w:rPr>
        <w:noProof/>
        <w:lang w:eastAsia="en-GB"/>
      </w:rPr>
      <w:drawing>
        <wp:anchor distT="0" distB="0" distL="114300" distR="114300" simplePos="0" relativeHeight="251667456" behindDoc="1" locked="0" layoutInCell="1" allowOverlap="1" wp14:anchorId="57FDFEC8" wp14:editId="4898F4FE">
          <wp:simplePos x="0" y="0"/>
          <wp:positionH relativeFrom="margin">
            <wp:posOffset>-323216</wp:posOffset>
          </wp:positionH>
          <wp:positionV relativeFrom="page">
            <wp:posOffset>476249</wp:posOffset>
          </wp:positionV>
          <wp:extent cx="69215" cy="313009"/>
          <wp:effectExtent l="0" t="0" r="6985" b="0"/>
          <wp:wrapSquare wrapText="bothSides"/>
          <wp:docPr id="27" name="Picture 27" descr="G:\London\UKDS - Marketing\2015\M&amp;BD\General Admin\Logos\MAZARS(3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London\UKDS - Marketing\2015\M&amp;BD\General Admin\Logos\MAZARS(3col).jpg"/>
                  <pic:cNvPicPr>
                    <a:picLocks noChangeAspect="1"/>
                  </pic:cNvPicPr>
                </pic:nvPicPr>
                <pic:blipFill rotWithShape="1">
                  <a:blip r:embed="rId2">
                    <a:extLst>
                      <a:ext uri="{28A0092B-C50C-407E-A947-70E740481C1C}">
                        <a14:useLocalDpi xmlns:a14="http://schemas.microsoft.com/office/drawing/2010/main" val="0"/>
                      </a:ext>
                    </a:extLst>
                  </a:blip>
                  <a:srcRect l="97114" b="27557"/>
                  <a:stretch/>
                </pic:blipFill>
                <pic:spPr bwMode="auto">
                  <a:xfrm flipH="1" flipV="1">
                    <a:off x="0" y="0"/>
                    <a:ext cx="70188" cy="3174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1B0C" w:rsidRPr="0024004A">
      <w:rPr>
        <w:rFonts w:ascii="Verdana" w:hAnsi="Verdana"/>
        <w:sz w:val="18"/>
        <w:szCs w:val="18"/>
      </w:rPr>
      <w:t>Case M.6447 IAG/</w:t>
    </w:r>
    <w:proofErr w:type="spellStart"/>
    <w:r w:rsidR="008F1B0C" w:rsidRPr="0024004A">
      <w:rPr>
        <w:rFonts w:ascii="Verdana" w:hAnsi="Verdana"/>
        <w:sz w:val="18"/>
        <w:szCs w:val="18"/>
      </w:rPr>
      <w:t>bmi</w:t>
    </w:r>
    <w:proofErr w:type="spellEnd"/>
    <w:r w:rsidR="008F1B0C" w:rsidRPr="0024004A">
      <w:rPr>
        <w:rFonts w:ascii="Verdana" w:hAnsi="Verdana"/>
        <w:sz w:val="18"/>
        <w:szCs w:val="18"/>
      </w:rPr>
      <w:t xml:space="preserve"> </w:t>
    </w:r>
    <w:r w:rsidR="00DD5C54" w:rsidRPr="0024004A">
      <w:rPr>
        <w:rFonts w:ascii="Verdana" w:hAnsi="Verdana"/>
        <w:sz w:val="18"/>
        <w:szCs w:val="18"/>
      </w:rPr>
      <w:t>Slot release process timetable</w:t>
    </w:r>
    <w:r w:rsidR="005B510A">
      <w:rPr>
        <w:rFonts w:ascii="Verdana" w:hAnsi="Verdana"/>
        <w:sz w:val="18"/>
        <w:szCs w:val="18"/>
      </w:rPr>
      <w:t xml:space="preserve"> </w:t>
    </w:r>
    <w:r w:rsidR="00D364F6">
      <w:rPr>
        <w:rFonts w:ascii="Verdana" w:hAnsi="Verdana"/>
        <w:sz w:val="18"/>
        <w:szCs w:val="18"/>
      </w:rPr>
      <w:t>W</w:t>
    </w:r>
    <w:r w:rsidR="008D0F24">
      <w:rPr>
        <w:rFonts w:ascii="Verdana" w:hAnsi="Verdana"/>
        <w:sz w:val="18"/>
        <w:szCs w:val="18"/>
      </w:rPr>
      <w:t>2</w:t>
    </w:r>
    <w:r w:rsidR="00714528">
      <w:rPr>
        <w:rFonts w:ascii="Verdana" w:hAnsi="Verdana"/>
        <w:sz w:val="18"/>
        <w:szCs w:val="18"/>
      </w:rPr>
      <w:t>3</w:t>
    </w:r>
    <w:r w:rsidR="00D364F6">
      <w:rPr>
        <w:rFonts w:ascii="Verdana" w:hAnsi="Verdana"/>
        <w:sz w:val="18"/>
        <w:szCs w:val="18"/>
      </w:rPr>
      <w:t>/2</w:t>
    </w:r>
    <w:r w:rsidR="00714528">
      <w:rPr>
        <w:rFonts w:ascii="Verdana" w:hAnsi="Verdana"/>
        <w:sz w:val="18"/>
        <w:szCs w:val="18"/>
      </w:rPr>
      <w:t>4</w:t>
    </w:r>
  </w:p>
  <w:p w14:paraId="57FDFEC7" w14:textId="53A695DE" w:rsidR="00570394" w:rsidRDefault="00DF3E3F" w:rsidP="00DD5C54">
    <w:pPr>
      <w:pStyle w:val="Header"/>
      <w:jc w:val="right"/>
    </w:pPr>
    <w:r>
      <w:rPr>
        <w:rFonts w:ascii="Verdana" w:hAnsi="Verdana"/>
        <w:sz w:val="18"/>
        <w:szCs w:val="18"/>
      </w:rPr>
      <w:t xml:space="preserve">Provided to </w:t>
    </w:r>
    <w:r w:rsidR="00053A19">
      <w:rPr>
        <w:rFonts w:ascii="Verdana" w:hAnsi="Verdana"/>
        <w:sz w:val="18"/>
        <w:szCs w:val="18"/>
      </w:rPr>
      <w:t xml:space="preserve">IAG </w:t>
    </w:r>
    <w:r>
      <w:rPr>
        <w:rFonts w:ascii="Verdana" w:hAnsi="Verdana"/>
        <w:sz w:val="18"/>
        <w:szCs w:val="18"/>
      </w:rPr>
      <w:t>on</w:t>
    </w:r>
    <w:r w:rsidR="00053A19">
      <w:rPr>
        <w:rFonts w:ascii="Verdana" w:hAnsi="Verdana"/>
        <w:sz w:val="18"/>
        <w:szCs w:val="18"/>
      </w:rPr>
      <w:t xml:space="preserve"> </w:t>
    </w:r>
    <w:r w:rsidR="00D52C9A">
      <w:rPr>
        <w:rFonts w:ascii="Verdana" w:hAnsi="Verdana"/>
        <w:sz w:val="18"/>
        <w:szCs w:val="18"/>
      </w:rPr>
      <w:t>6 March</w:t>
    </w:r>
    <w:r w:rsidR="00933759">
      <w:rPr>
        <w:rFonts w:ascii="Verdana" w:hAnsi="Verdana"/>
        <w:sz w:val="18"/>
        <w:szCs w:val="18"/>
      </w:rPr>
      <w:t xml:space="preserve"> </w:t>
    </w:r>
    <w:r>
      <w:rPr>
        <w:rFonts w:ascii="Verdana" w:hAnsi="Verdana"/>
        <w:sz w:val="18"/>
        <w:szCs w:val="18"/>
      </w:rPr>
      <w:t>202</w:t>
    </w:r>
    <w:r w:rsidR="00714528">
      <w:rPr>
        <w:rFonts w:ascii="Verdana" w:hAnsi="Verdana"/>
        <w:sz w:val="18"/>
        <w:szCs w:val="18"/>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CA3B" w14:textId="77777777" w:rsidR="00D52C9A" w:rsidRDefault="00D52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644C8"/>
    <w:multiLevelType w:val="hybridMultilevel"/>
    <w:tmpl w:val="DC729528"/>
    <w:lvl w:ilvl="0" w:tplc="932EEFC2">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92FD9"/>
    <w:multiLevelType w:val="hybridMultilevel"/>
    <w:tmpl w:val="C68EF1E0"/>
    <w:lvl w:ilvl="0" w:tplc="E368B244">
      <w:start w:val="1"/>
      <w:numFmt w:val="bullet"/>
      <w:lvlText w:val="•"/>
      <w:lvlJc w:val="left"/>
      <w:pPr>
        <w:tabs>
          <w:tab w:val="num" w:pos="360"/>
        </w:tabs>
        <w:ind w:left="360" w:hanging="360"/>
      </w:pPr>
      <w:rPr>
        <w:rFonts w:ascii="Arial" w:hAnsi="Arial" w:hint="default"/>
      </w:rPr>
    </w:lvl>
    <w:lvl w:ilvl="1" w:tplc="7C0A1CB0" w:tentative="1">
      <w:start w:val="1"/>
      <w:numFmt w:val="bullet"/>
      <w:lvlText w:val="•"/>
      <w:lvlJc w:val="left"/>
      <w:pPr>
        <w:tabs>
          <w:tab w:val="num" w:pos="1080"/>
        </w:tabs>
        <w:ind w:left="1080" w:hanging="360"/>
      </w:pPr>
      <w:rPr>
        <w:rFonts w:ascii="Arial" w:hAnsi="Arial" w:hint="default"/>
      </w:rPr>
    </w:lvl>
    <w:lvl w:ilvl="2" w:tplc="EC9EFED0" w:tentative="1">
      <w:start w:val="1"/>
      <w:numFmt w:val="bullet"/>
      <w:lvlText w:val="•"/>
      <w:lvlJc w:val="left"/>
      <w:pPr>
        <w:tabs>
          <w:tab w:val="num" w:pos="1800"/>
        </w:tabs>
        <w:ind w:left="1800" w:hanging="360"/>
      </w:pPr>
      <w:rPr>
        <w:rFonts w:ascii="Arial" w:hAnsi="Arial" w:hint="default"/>
      </w:rPr>
    </w:lvl>
    <w:lvl w:ilvl="3" w:tplc="1E224242" w:tentative="1">
      <w:start w:val="1"/>
      <w:numFmt w:val="bullet"/>
      <w:lvlText w:val="•"/>
      <w:lvlJc w:val="left"/>
      <w:pPr>
        <w:tabs>
          <w:tab w:val="num" w:pos="2520"/>
        </w:tabs>
        <w:ind w:left="2520" w:hanging="360"/>
      </w:pPr>
      <w:rPr>
        <w:rFonts w:ascii="Arial" w:hAnsi="Arial" w:hint="default"/>
      </w:rPr>
    </w:lvl>
    <w:lvl w:ilvl="4" w:tplc="52304ED6" w:tentative="1">
      <w:start w:val="1"/>
      <w:numFmt w:val="bullet"/>
      <w:lvlText w:val="•"/>
      <w:lvlJc w:val="left"/>
      <w:pPr>
        <w:tabs>
          <w:tab w:val="num" w:pos="3240"/>
        </w:tabs>
        <w:ind w:left="3240" w:hanging="360"/>
      </w:pPr>
      <w:rPr>
        <w:rFonts w:ascii="Arial" w:hAnsi="Arial" w:hint="default"/>
      </w:rPr>
    </w:lvl>
    <w:lvl w:ilvl="5" w:tplc="E41C9FFA" w:tentative="1">
      <w:start w:val="1"/>
      <w:numFmt w:val="bullet"/>
      <w:lvlText w:val="•"/>
      <w:lvlJc w:val="left"/>
      <w:pPr>
        <w:tabs>
          <w:tab w:val="num" w:pos="3960"/>
        </w:tabs>
        <w:ind w:left="3960" w:hanging="360"/>
      </w:pPr>
      <w:rPr>
        <w:rFonts w:ascii="Arial" w:hAnsi="Arial" w:hint="default"/>
      </w:rPr>
    </w:lvl>
    <w:lvl w:ilvl="6" w:tplc="C79C2D98" w:tentative="1">
      <w:start w:val="1"/>
      <w:numFmt w:val="bullet"/>
      <w:lvlText w:val="•"/>
      <w:lvlJc w:val="left"/>
      <w:pPr>
        <w:tabs>
          <w:tab w:val="num" w:pos="4680"/>
        </w:tabs>
        <w:ind w:left="4680" w:hanging="360"/>
      </w:pPr>
      <w:rPr>
        <w:rFonts w:ascii="Arial" w:hAnsi="Arial" w:hint="default"/>
      </w:rPr>
    </w:lvl>
    <w:lvl w:ilvl="7" w:tplc="70142868" w:tentative="1">
      <w:start w:val="1"/>
      <w:numFmt w:val="bullet"/>
      <w:lvlText w:val="•"/>
      <w:lvlJc w:val="left"/>
      <w:pPr>
        <w:tabs>
          <w:tab w:val="num" w:pos="5400"/>
        </w:tabs>
        <w:ind w:left="5400" w:hanging="360"/>
      </w:pPr>
      <w:rPr>
        <w:rFonts w:ascii="Arial" w:hAnsi="Arial" w:hint="default"/>
      </w:rPr>
    </w:lvl>
    <w:lvl w:ilvl="8" w:tplc="66ECDEB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CB31D30"/>
    <w:multiLevelType w:val="hybridMultilevel"/>
    <w:tmpl w:val="C8889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07FB5"/>
    <w:multiLevelType w:val="hybridMultilevel"/>
    <w:tmpl w:val="1CA2DE2A"/>
    <w:lvl w:ilvl="0" w:tplc="932EEFC2">
      <w:start w:val="1"/>
      <w:numFmt w:val="bullet"/>
      <w:lvlText w:val="•"/>
      <w:lvlJc w:val="left"/>
      <w:pPr>
        <w:tabs>
          <w:tab w:val="num" w:pos="360"/>
        </w:tabs>
        <w:ind w:left="360" w:hanging="360"/>
      </w:pPr>
      <w:rPr>
        <w:rFonts w:ascii="Arial" w:hAnsi="Arial" w:hint="default"/>
      </w:rPr>
    </w:lvl>
    <w:lvl w:ilvl="1" w:tplc="7F9867BA" w:tentative="1">
      <w:start w:val="1"/>
      <w:numFmt w:val="bullet"/>
      <w:lvlText w:val="•"/>
      <w:lvlJc w:val="left"/>
      <w:pPr>
        <w:tabs>
          <w:tab w:val="num" w:pos="1080"/>
        </w:tabs>
        <w:ind w:left="1080" w:hanging="360"/>
      </w:pPr>
      <w:rPr>
        <w:rFonts w:ascii="Arial" w:hAnsi="Arial" w:hint="default"/>
      </w:rPr>
    </w:lvl>
    <w:lvl w:ilvl="2" w:tplc="C8C841A8" w:tentative="1">
      <w:start w:val="1"/>
      <w:numFmt w:val="bullet"/>
      <w:lvlText w:val="•"/>
      <w:lvlJc w:val="left"/>
      <w:pPr>
        <w:tabs>
          <w:tab w:val="num" w:pos="1800"/>
        </w:tabs>
        <w:ind w:left="1800" w:hanging="360"/>
      </w:pPr>
      <w:rPr>
        <w:rFonts w:ascii="Arial" w:hAnsi="Arial" w:hint="default"/>
      </w:rPr>
    </w:lvl>
    <w:lvl w:ilvl="3" w:tplc="44E46358" w:tentative="1">
      <w:start w:val="1"/>
      <w:numFmt w:val="bullet"/>
      <w:lvlText w:val="•"/>
      <w:lvlJc w:val="left"/>
      <w:pPr>
        <w:tabs>
          <w:tab w:val="num" w:pos="2520"/>
        </w:tabs>
        <w:ind w:left="2520" w:hanging="360"/>
      </w:pPr>
      <w:rPr>
        <w:rFonts w:ascii="Arial" w:hAnsi="Arial" w:hint="default"/>
      </w:rPr>
    </w:lvl>
    <w:lvl w:ilvl="4" w:tplc="95C404BE" w:tentative="1">
      <w:start w:val="1"/>
      <w:numFmt w:val="bullet"/>
      <w:lvlText w:val="•"/>
      <w:lvlJc w:val="left"/>
      <w:pPr>
        <w:tabs>
          <w:tab w:val="num" w:pos="3240"/>
        </w:tabs>
        <w:ind w:left="3240" w:hanging="360"/>
      </w:pPr>
      <w:rPr>
        <w:rFonts w:ascii="Arial" w:hAnsi="Arial" w:hint="default"/>
      </w:rPr>
    </w:lvl>
    <w:lvl w:ilvl="5" w:tplc="43C0A9FE" w:tentative="1">
      <w:start w:val="1"/>
      <w:numFmt w:val="bullet"/>
      <w:lvlText w:val="•"/>
      <w:lvlJc w:val="left"/>
      <w:pPr>
        <w:tabs>
          <w:tab w:val="num" w:pos="3960"/>
        </w:tabs>
        <w:ind w:left="3960" w:hanging="360"/>
      </w:pPr>
      <w:rPr>
        <w:rFonts w:ascii="Arial" w:hAnsi="Arial" w:hint="default"/>
      </w:rPr>
    </w:lvl>
    <w:lvl w:ilvl="6" w:tplc="E6865516" w:tentative="1">
      <w:start w:val="1"/>
      <w:numFmt w:val="bullet"/>
      <w:lvlText w:val="•"/>
      <w:lvlJc w:val="left"/>
      <w:pPr>
        <w:tabs>
          <w:tab w:val="num" w:pos="4680"/>
        </w:tabs>
        <w:ind w:left="4680" w:hanging="360"/>
      </w:pPr>
      <w:rPr>
        <w:rFonts w:ascii="Arial" w:hAnsi="Arial" w:hint="default"/>
      </w:rPr>
    </w:lvl>
    <w:lvl w:ilvl="7" w:tplc="8DBE457C" w:tentative="1">
      <w:start w:val="1"/>
      <w:numFmt w:val="bullet"/>
      <w:lvlText w:val="•"/>
      <w:lvlJc w:val="left"/>
      <w:pPr>
        <w:tabs>
          <w:tab w:val="num" w:pos="5400"/>
        </w:tabs>
        <w:ind w:left="5400" w:hanging="360"/>
      </w:pPr>
      <w:rPr>
        <w:rFonts w:ascii="Arial" w:hAnsi="Arial" w:hint="default"/>
      </w:rPr>
    </w:lvl>
    <w:lvl w:ilvl="8" w:tplc="F37C642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EFD6BF2"/>
    <w:multiLevelType w:val="hybridMultilevel"/>
    <w:tmpl w:val="64DCA250"/>
    <w:lvl w:ilvl="0" w:tplc="EA205B9C">
      <w:start w:val="1"/>
      <w:numFmt w:val="bullet"/>
      <w:lvlText w:val=""/>
      <w:lvlJc w:val="left"/>
      <w:pPr>
        <w:tabs>
          <w:tab w:val="num" w:pos="360"/>
        </w:tabs>
        <w:ind w:left="360" w:hanging="360"/>
      </w:pPr>
      <w:rPr>
        <w:rFonts w:ascii="Symbol" w:hAnsi="Symbol" w:hint="default"/>
      </w:rPr>
    </w:lvl>
    <w:lvl w:ilvl="1" w:tplc="F766C4AA" w:tentative="1">
      <w:start w:val="1"/>
      <w:numFmt w:val="bullet"/>
      <w:lvlText w:val=""/>
      <w:lvlJc w:val="left"/>
      <w:pPr>
        <w:tabs>
          <w:tab w:val="num" w:pos="1080"/>
        </w:tabs>
        <w:ind w:left="1080" w:hanging="360"/>
      </w:pPr>
      <w:rPr>
        <w:rFonts w:ascii="Symbol" w:hAnsi="Symbol" w:hint="default"/>
      </w:rPr>
    </w:lvl>
    <w:lvl w:ilvl="2" w:tplc="5A9C7A4A" w:tentative="1">
      <w:start w:val="1"/>
      <w:numFmt w:val="bullet"/>
      <w:lvlText w:val=""/>
      <w:lvlJc w:val="left"/>
      <w:pPr>
        <w:tabs>
          <w:tab w:val="num" w:pos="1800"/>
        </w:tabs>
        <w:ind w:left="1800" w:hanging="360"/>
      </w:pPr>
      <w:rPr>
        <w:rFonts w:ascii="Symbol" w:hAnsi="Symbol" w:hint="default"/>
      </w:rPr>
    </w:lvl>
    <w:lvl w:ilvl="3" w:tplc="0818DE54" w:tentative="1">
      <w:start w:val="1"/>
      <w:numFmt w:val="bullet"/>
      <w:lvlText w:val=""/>
      <w:lvlJc w:val="left"/>
      <w:pPr>
        <w:tabs>
          <w:tab w:val="num" w:pos="2520"/>
        </w:tabs>
        <w:ind w:left="2520" w:hanging="360"/>
      </w:pPr>
      <w:rPr>
        <w:rFonts w:ascii="Symbol" w:hAnsi="Symbol" w:hint="default"/>
      </w:rPr>
    </w:lvl>
    <w:lvl w:ilvl="4" w:tplc="BA329476" w:tentative="1">
      <w:start w:val="1"/>
      <w:numFmt w:val="bullet"/>
      <w:lvlText w:val=""/>
      <w:lvlJc w:val="left"/>
      <w:pPr>
        <w:tabs>
          <w:tab w:val="num" w:pos="3240"/>
        </w:tabs>
        <w:ind w:left="3240" w:hanging="360"/>
      </w:pPr>
      <w:rPr>
        <w:rFonts w:ascii="Symbol" w:hAnsi="Symbol" w:hint="default"/>
      </w:rPr>
    </w:lvl>
    <w:lvl w:ilvl="5" w:tplc="E52ED3B0" w:tentative="1">
      <w:start w:val="1"/>
      <w:numFmt w:val="bullet"/>
      <w:lvlText w:val=""/>
      <w:lvlJc w:val="left"/>
      <w:pPr>
        <w:tabs>
          <w:tab w:val="num" w:pos="3960"/>
        </w:tabs>
        <w:ind w:left="3960" w:hanging="360"/>
      </w:pPr>
      <w:rPr>
        <w:rFonts w:ascii="Symbol" w:hAnsi="Symbol" w:hint="default"/>
      </w:rPr>
    </w:lvl>
    <w:lvl w:ilvl="6" w:tplc="84CACE7E" w:tentative="1">
      <w:start w:val="1"/>
      <w:numFmt w:val="bullet"/>
      <w:lvlText w:val=""/>
      <w:lvlJc w:val="left"/>
      <w:pPr>
        <w:tabs>
          <w:tab w:val="num" w:pos="4680"/>
        </w:tabs>
        <w:ind w:left="4680" w:hanging="360"/>
      </w:pPr>
      <w:rPr>
        <w:rFonts w:ascii="Symbol" w:hAnsi="Symbol" w:hint="default"/>
      </w:rPr>
    </w:lvl>
    <w:lvl w:ilvl="7" w:tplc="48C052FE" w:tentative="1">
      <w:start w:val="1"/>
      <w:numFmt w:val="bullet"/>
      <w:lvlText w:val=""/>
      <w:lvlJc w:val="left"/>
      <w:pPr>
        <w:tabs>
          <w:tab w:val="num" w:pos="5400"/>
        </w:tabs>
        <w:ind w:left="5400" w:hanging="360"/>
      </w:pPr>
      <w:rPr>
        <w:rFonts w:ascii="Symbol" w:hAnsi="Symbol" w:hint="default"/>
      </w:rPr>
    </w:lvl>
    <w:lvl w:ilvl="8" w:tplc="4BD0002C"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4FFA7C94"/>
    <w:multiLevelType w:val="hybridMultilevel"/>
    <w:tmpl w:val="FE3856A6"/>
    <w:lvl w:ilvl="0" w:tplc="EA205B9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9CE6AE6"/>
    <w:multiLevelType w:val="hybridMultilevel"/>
    <w:tmpl w:val="AADC432C"/>
    <w:lvl w:ilvl="0" w:tplc="6FEE8CA0">
      <w:start w:val="1"/>
      <w:numFmt w:val="bullet"/>
      <w:lvlText w:val="•"/>
      <w:lvlJc w:val="left"/>
      <w:pPr>
        <w:tabs>
          <w:tab w:val="num" w:pos="360"/>
        </w:tabs>
        <w:ind w:left="360" w:hanging="360"/>
      </w:pPr>
      <w:rPr>
        <w:rFonts w:ascii="Arial" w:hAnsi="Arial" w:hint="default"/>
      </w:rPr>
    </w:lvl>
    <w:lvl w:ilvl="1" w:tplc="6838AB14" w:tentative="1">
      <w:start w:val="1"/>
      <w:numFmt w:val="bullet"/>
      <w:lvlText w:val="•"/>
      <w:lvlJc w:val="left"/>
      <w:pPr>
        <w:tabs>
          <w:tab w:val="num" w:pos="1080"/>
        </w:tabs>
        <w:ind w:left="1080" w:hanging="360"/>
      </w:pPr>
      <w:rPr>
        <w:rFonts w:ascii="Arial" w:hAnsi="Arial" w:hint="default"/>
      </w:rPr>
    </w:lvl>
    <w:lvl w:ilvl="2" w:tplc="8E98F140" w:tentative="1">
      <w:start w:val="1"/>
      <w:numFmt w:val="bullet"/>
      <w:lvlText w:val="•"/>
      <w:lvlJc w:val="left"/>
      <w:pPr>
        <w:tabs>
          <w:tab w:val="num" w:pos="1800"/>
        </w:tabs>
        <w:ind w:left="1800" w:hanging="360"/>
      </w:pPr>
      <w:rPr>
        <w:rFonts w:ascii="Arial" w:hAnsi="Arial" w:hint="default"/>
      </w:rPr>
    </w:lvl>
    <w:lvl w:ilvl="3" w:tplc="E30837F6" w:tentative="1">
      <w:start w:val="1"/>
      <w:numFmt w:val="bullet"/>
      <w:lvlText w:val="•"/>
      <w:lvlJc w:val="left"/>
      <w:pPr>
        <w:tabs>
          <w:tab w:val="num" w:pos="2520"/>
        </w:tabs>
        <w:ind w:left="2520" w:hanging="360"/>
      </w:pPr>
      <w:rPr>
        <w:rFonts w:ascii="Arial" w:hAnsi="Arial" w:hint="default"/>
      </w:rPr>
    </w:lvl>
    <w:lvl w:ilvl="4" w:tplc="1F708CAC" w:tentative="1">
      <w:start w:val="1"/>
      <w:numFmt w:val="bullet"/>
      <w:lvlText w:val="•"/>
      <w:lvlJc w:val="left"/>
      <w:pPr>
        <w:tabs>
          <w:tab w:val="num" w:pos="3240"/>
        </w:tabs>
        <w:ind w:left="3240" w:hanging="360"/>
      </w:pPr>
      <w:rPr>
        <w:rFonts w:ascii="Arial" w:hAnsi="Arial" w:hint="default"/>
      </w:rPr>
    </w:lvl>
    <w:lvl w:ilvl="5" w:tplc="040C7DC0" w:tentative="1">
      <w:start w:val="1"/>
      <w:numFmt w:val="bullet"/>
      <w:lvlText w:val="•"/>
      <w:lvlJc w:val="left"/>
      <w:pPr>
        <w:tabs>
          <w:tab w:val="num" w:pos="3960"/>
        </w:tabs>
        <w:ind w:left="3960" w:hanging="360"/>
      </w:pPr>
      <w:rPr>
        <w:rFonts w:ascii="Arial" w:hAnsi="Arial" w:hint="default"/>
      </w:rPr>
    </w:lvl>
    <w:lvl w:ilvl="6" w:tplc="B08EDB7A" w:tentative="1">
      <w:start w:val="1"/>
      <w:numFmt w:val="bullet"/>
      <w:lvlText w:val="•"/>
      <w:lvlJc w:val="left"/>
      <w:pPr>
        <w:tabs>
          <w:tab w:val="num" w:pos="4680"/>
        </w:tabs>
        <w:ind w:left="4680" w:hanging="360"/>
      </w:pPr>
      <w:rPr>
        <w:rFonts w:ascii="Arial" w:hAnsi="Arial" w:hint="default"/>
      </w:rPr>
    </w:lvl>
    <w:lvl w:ilvl="7" w:tplc="7416FDA2" w:tentative="1">
      <w:start w:val="1"/>
      <w:numFmt w:val="bullet"/>
      <w:lvlText w:val="•"/>
      <w:lvlJc w:val="left"/>
      <w:pPr>
        <w:tabs>
          <w:tab w:val="num" w:pos="5400"/>
        </w:tabs>
        <w:ind w:left="5400" w:hanging="360"/>
      </w:pPr>
      <w:rPr>
        <w:rFonts w:ascii="Arial" w:hAnsi="Arial" w:hint="default"/>
      </w:rPr>
    </w:lvl>
    <w:lvl w:ilvl="8" w:tplc="C316DE96"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6C0E118E"/>
    <w:multiLevelType w:val="hybridMultilevel"/>
    <w:tmpl w:val="6A8E6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6242ED"/>
    <w:multiLevelType w:val="hybridMultilevel"/>
    <w:tmpl w:val="A6E419FA"/>
    <w:lvl w:ilvl="0" w:tplc="0ADAAA60">
      <w:start w:val="1"/>
      <w:numFmt w:val="bullet"/>
      <w:lvlText w:val=""/>
      <w:lvlJc w:val="left"/>
      <w:pPr>
        <w:tabs>
          <w:tab w:val="num" w:pos="360"/>
        </w:tabs>
        <w:ind w:left="360" w:hanging="360"/>
      </w:pPr>
      <w:rPr>
        <w:rFonts w:ascii="Symbol" w:hAnsi="Symbol" w:hint="default"/>
      </w:rPr>
    </w:lvl>
    <w:lvl w:ilvl="1" w:tplc="99B05CCA">
      <w:start w:val="219"/>
      <w:numFmt w:val="bullet"/>
      <w:lvlText w:val="o"/>
      <w:lvlJc w:val="left"/>
      <w:pPr>
        <w:tabs>
          <w:tab w:val="num" w:pos="1080"/>
        </w:tabs>
        <w:ind w:left="1080" w:hanging="360"/>
      </w:pPr>
      <w:rPr>
        <w:rFonts w:ascii="Courier New" w:hAnsi="Courier New" w:hint="default"/>
      </w:rPr>
    </w:lvl>
    <w:lvl w:ilvl="2" w:tplc="2EC6BE14" w:tentative="1">
      <w:start w:val="1"/>
      <w:numFmt w:val="bullet"/>
      <w:lvlText w:val=""/>
      <w:lvlJc w:val="left"/>
      <w:pPr>
        <w:tabs>
          <w:tab w:val="num" w:pos="1800"/>
        </w:tabs>
        <w:ind w:left="1800" w:hanging="360"/>
      </w:pPr>
      <w:rPr>
        <w:rFonts w:ascii="Symbol" w:hAnsi="Symbol" w:hint="default"/>
      </w:rPr>
    </w:lvl>
    <w:lvl w:ilvl="3" w:tplc="78B661C0" w:tentative="1">
      <w:start w:val="1"/>
      <w:numFmt w:val="bullet"/>
      <w:lvlText w:val=""/>
      <w:lvlJc w:val="left"/>
      <w:pPr>
        <w:tabs>
          <w:tab w:val="num" w:pos="2520"/>
        </w:tabs>
        <w:ind w:left="2520" w:hanging="360"/>
      </w:pPr>
      <w:rPr>
        <w:rFonts w:ascii="Symbol" w:hAnsi="Symbol" w:hint="default"/>
      </w:rPr>
    </w:lvl>
    <w:lvl w:ilvl="4" w:tplc="7A544402" w:tentative="1">
      <w:start w:val="1"/>
      <w:numFmt w:val="bullet"/>
      <w:lvlText w:val=""/>
      <w:lvlJc w:val="left"/>
      <w:pPr>
        <w:tabs>
          <w:tab w:val="num" w:pos="3240"/>
        </w:tabs>
        <w:ind w:left="3240" w:hanging="360"/>
      </w:pPr>
      <w:rPr>
        <w:rFonts w:ascii="Symbol" w:hAnsi="Symbol" w:hint="default"/>
      </w:rPr>
    </w:lvl>
    <w:lvl w:ilvl="5" w:tplc="59BABE38" w:tentative="1">
      <w:start w:val="1"/>
      <w:numFmt w:val="bullet"/>
      <w:lvlText w:val=""/>
      <w:lvlJc w:val="left"/>
      <w:pPr>
        <w:tabs>
          <w:tab w:val="num" w:pos="3960"/>
        </w:tabs>
        <w:ind w:left="3960" w:hanging="360"/>
      </w:pPr>
      <w:rPr>
        <w:rFonts w:ascii="Symbol" w:hAnsi="Symbol" w:hint="default"/>
      </w:rPr>
    </w:lvl>
    <w:lvl w:ilvl="6" w:tplc="23CEF170" w:tentative="1">
      <w:start w:val="1"/>
      <w:numFmt w:val="bullet"/>
      <w:lvlText w:val=""/>
      <w:lvlJc w:val="left"/>
      <w:pPr>
        <w:tabs>
          <w:tab w:val="num" w:pos="4680"/>
        </w:tabs>
        <w:ind w:left="4680" w:hanging="360"/>
      </w:pPr>
      <w:rPr>
        <w:rFonts w:ascii="Symbol" w:hAnsi="Symbol" w:hint="default"/>
      </w:rPr>
    </w:lvl>
    <w:lvl w:ilvl="7" w:tplc="0924FE20" w:tentative="1">
      <w:start w:val="1"/>
      <w:numFmt w:val="bullet"/>
      <w:lvlText w:val=""/>
      <w:lvlJc w:val="left"/>
      <w:pPr>
        <w:tabs>
          <w:tab w:val="num" w:pos="5400"/>
        </w:tabs>
        <w:ind w:left="5400" w:hanging="360"/>
      </w:pPr>
      <w:rPr>
        <w:rFonts w:ascii="Symbol" w:hAnsi="Symbol" w:hint="default"/>
      </w:rPr>
    </w:lvl>
    <w:lvl w:ilvl="8" w:tplc="D53AC9CA" w:tentative="1">
      <w:start w:val="1"/>
      <w:numFmt w:val="bullet"/>
      <w:lvlText w:val=""/>
      <w:lvlJc w:val="left"/>
      <w:pPr>
        <w:tabs>
          <w:tab w:val="num" w:pos="6120"/>
        </w:tabs>
        <w:ind w:left="6120" w:hanging="360"/>
      </w:pPr>
      <w:rPr>
        <w:rFonts w:ascii="Symbol" w:hAnsi="Symbol" w:hint="default"/>
      </w:rPr>
    </w:lvl>
  </w:abstractNum>
  <w:num w:numId="1" w16cid:durableId="1365859911">
    <w:abstractNumId w:val="6"/>
  </w:num>
  <w:num w:numId="2" w16cid:durableId="875314961">
    <w:abstractNumId w:val="1"/>
  </w:num>
  <w:num w:numId="3" w16cid:durableId="673142413">
    <w:abstractNumId w:val="3"/>
  </w:num>
  <w:num w:numId="4" w16cid:durableId="581453040">
    <w:abstractNumId w:val="4"/>
  </w:num>
  <w:num w:numId="5" w16cid:durableId="829716220">
    <w:abstractNumId w:val="8"/>
  </w:num>
  <w:num w:numId="6" w16cid:durableId="1434784204">
    <w:abstractNumId w:val="7"/>
  </w:num>
  <w:num w:numId="7" w16cid:durableId="1908421495">
    <w:abstractNumId w:val="0"/>
  </w:num>
  <w:num w:numId="8" w16cid:durableId="474567419">
    <w:abstractNumId w:val="5"/>
  </w:num>
  <w:num w:numId="9" w16cid:durableId="1382628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7DB"/>
    <w:rsid w:val="00000505"/>
    <w:rsid w:val="00001F84"/>
    <w:rsid w:val="00002BE1"/>
    <w:rsid w:val="00003348"/>
    <w:rsid w:val="000172F7"/>
    <w:rsid w:val="00021DE8"/>
    <w:rsid w:val="00023B49"/>
    <w:rsid w:val="00025072"/>
    <w:rsid w:val="00027327"/>
    <w:rsid w:val="00041731"/>
    <w:rsid w:val="00041A13"/>
    <w:rsid w:val="00045188"/>
    <w:rsid w:val="0004598A"/>
    <w:rsid w:val="00046459"/>
    <w:rsid w:val="00051C57"/>
    <w:rsid w:val="0005210F"/>
    <w:rsid w:val="00053A19"/>
    <w:rsid w:val="00053E14"/>
    <w:rsid w:val="00054219"/>
    <w:rsid w:val="0005657B"/>
    <w:rsid w:val="000604C7"/>
    <w:rsid w:val="00061E66"/>
    <w:rsid w:val="00064F9B"/>
    <w:rsid w:val="00067C55"/>
    <w:rsid w:val="000735E9"/>
    <w:rsid w:val="0007551C"/>
    <w:rsid w:val="0007649D"/>
    <w:rsid w:val="00083569"/>
    <w:rsid w:val="00083A2A"/>
    <w:rsid w:val="00087F1C"/>
    <w:rsid w:val="00090004"/>
    <w:rsid w:val="000906B6"/>
    <w:rsid w:val="000A2E18"/>
    <w:rsid w:val="000A4AE9"/>
    <w:rsid w:val="000B11E3"/>
    <w:rsid w:val="000B17DB"/>
    <w:rsid w:val="000B37CD"/>
    <w:rsid w:val="000B49FD"/>
    <w:rsid w:val="000B608B"/>
    <w:rsid w:val="000B65B0"/>
    <w:rsid w:val="000B763B"/>
    <w:rsid w:val="000C0704"/>
    <w:rsid w:val="000C706D"/>
    <w:rsid w:val="000D306D"/>
    <w:rsid w:val="000D3206"/>
    <w:rsid w:val="000D3B5D"/>
    <w:rsid w:val="000D4681"/>
    <w:rsid w:val="000E0615"/>
    <w:rsid w:val="000E5DAE"/>
    <w:rsid w:val="000E7F51"/>
    <w:rsid w:val="000F3B0D"/>
    <w:rsid w:val="00102641"/>
    <w:rsid w:val="00103490"/>
    <w:rsid w:val="00104A8C"/>
    <w:rsid w:val="00124B22"/>
    <w:rsid w:val="001317E9"/>
    <w:rsid w:val="001331D7"/>
    <w:rsid w:val="001362FF"/>
    <w:rsid w:val="00140F46"/>
    <w:rsid w:val="00143BE0"/>
    <w:rsid w:val="00147E20"/>
    <w:rsid w:val="00155F4C"/>
    <w:rsid w:val="00156691"/>
    <w:rsid w:val="00156DFE"/>
    <w:rsid w:val="00162403"/>
    <w:rsid w:val="0016478A"/>
    <w:rsid w:val="00166163"/>
    <w:rsid w:val="00166223"/>
    <w:rsid w:val="00170103"/>
    <w:rsid w:val="0017089E"/>
    <w:rsid w:val="00172AF7"/>
    <w:rsid w:val="001824F6"/>
    <w:rsid w:val="001863BD"/>
    <w:rsid w:val="00190B77"/>
    <w:rsid w:val="00191E09"/>
    <w:rsid w:val="00192093"/>
    <w:rsid w:val="00193D3A"/>
    <w:rsid w:val="001958D9"/>
    <w:rsid w:val="001A7AB3"/>
    <w:rsid w:val="001B08C9"/>
    <w:rsid w:val="001B2E99"/>
    <w:rsid w:val="001C1026"/>
    <w:rsid w:val="001C3DB9"/>
    <w:rsid w:val="001E0A73"/>
    <w:rsid w:val="001E1FEF"/>
    <w:rsid w:val="001E4EFE"/>
    <w:rsid w:val="001E7FB3"/>
    <w:rsid w:val="001F2B0B"/>
    <w:rsid w:val="001F2FCC"/>
    <w:rsid w:val="001F3367"/>
    <w:rsid w:val="0020108E"/>
    <w:rsid w:val="002116A5"/>
    <w:rsid w:val="00214AEF"/>
    <w:rsid w:val="002150A4"/>
    <w:rsid w:val="002162BD"/>
    <w:rsid w:val="00223B41"/>
    <w:rsid w:val="00224EF7"/>
    <w:rsid w:val="002253C8"/>
    <w:rsid w:val="00225D13"/>
    <w:rsid w:val="00227D1C"/>
    <w:rsid w:val="00233145"/>
    <w:rsid w:val="002338CF"/>
    <w:rsid w:val="00234AD9"/>
    <w:rsid w:val="002361F4"/>
    <w:rsid w:val="00237543"/>
    <w:rsid w:val="0024004A"/>
    <w:rsid w:val="00241461"/>
    <w:rsid w:val="00247708"/>
    <w:rsid w:val="0025310C"/>
    <w:rsid w:val="00254BAB"/>
    <w:rsid w:val="002642BD"/>
    <w:rsid w:val="002667D6"/>
    <w:rsid w:val="002703FB"/>
    <w:rsid w:val="00272B97"/>
    <w:rsid w:val="002730C5"/>
    <w:rsid w:val="00276482"/>
    <w:rsid w:val="0028080E"/>
    <w:rsid w:val="00281B4E"/>
    <w:rsid w:val="00284B63"/>
    <w:rsid w:val="00284C4F"/>
    <w:rsid w:val="002A2F3B"/>
    <w:rsid w:val="002A3DE3"/>
    <w:rsid w:val="002A57BD"/>
    <w:rsid w:val="002B181A"/>
    <w:rsid w:val="002C0B45"/>
    <w:rsid w:val="002C4DB4"/>
    <w:rsid w:val="002D2964"/>
    <w:rsid w:val="002D642F"/>
    <w:rsid w:val="002D668F"/>
    <w:rsid w:val="002E3E15"/>
    <w:rsid w:val="002E46D6"/>
    <w:rsid w:val="002E47F4"/>
    <w:rsid w:val="002F08F3"/>
    <w:rsid w:val="002F172A"/>
    <w:rsid w:val="002F29E3"/>
    <w:rsid w:val="002F3365"/>
    <w:rsid w:val="002F5065"/>
    <w:rsid w:val="002F6A2E"/>
    <w:rsid w:val="00300D4C"/>
    <w:rsid w:val="00301482"/>
    <w:rsid w:val="00302B44"/>
    <w:rsid w:val="0030304E"/>
    <w:rsid w:val="0031152F"/>
    <w:rsid w:val="00312D2C"/>
    <w:rsid w:val="003133BD"/>
    <w:rsid w:val="00314FCE"/>
    <w:rsid w:val="003151D9"/>
    <w:rsid w:val="00320DB1"/>
    <w:rsid w:val="00320F9A"/>
    <w:rsid w:val="00321491"/>
    <w:rsid w:val="00330291"/>
    <w:rsid w:val="00331D5A"/>
    <w:rsid w:val="003426FF"/>
    <w:rsid w:val="003455AC"/>
    <w:rsid w:val="0035294B"/>
    <w:rsid w:val="00353E90"/>
    <w:rsid w:val="00360A64"/>
    <w:rsid w:val="003621FF"/>
    <w:rsid w:val="00366056"/>
    <w:rsid w:val="0036775C"/>
    <w:rsid w:val="00371473"/>
    <w:rsid w:val="00371A4C"/>
    <w:rsid w:val="003768D8"/>
    <w:rsid w:val="00382601"/>
    <w:rsid w:val="003857BA"/>
    <w:rsid w:val="00385DBF"/>
    <w:rsid w:val="003927CC"/>
    <w:rsid w:val="003A1B49"/>
    <w:rsid w:val="003A2044"/>
    <w:rsid w:val="003A3C95"/>
    <w:rsid w:val="003A4C62"/>
    <w:rsid w:val="003A5CDD"/>
    <w:rsid w:val="003A74BC"/>
    <w:rsid w:val="003B1352"/>
    <w:rsid w:val="003B1E30"/>
    <w:rsid w:val="003C0E05"/>
    <w:rsid w:val="003C5C3B"/>
    <w:rsid w:val="003D0065"/>
    <w:rsid w:val="003D2D84"/>
    <w:rsid w:val="003D4301"/>
    <w:rsid w:val="003E002B"/>
    <w:rsid w:val="003E010D"/>
    <w:rsid w:val="003E4C67"/>
    <w:rsid w:val="003F1182"/>
    <w:rsid w:val="003F13A8"/>
    <w:rsid w:val="003F3DE1"/>
    <w:rsid w:val="00404CB8"/>
    <w:rsid w:val="0040687D"/>
    <w:rsid w:val="004068E5"/>
    <w:rsid w:val="004130EF"/>
    <w:rsid w:val="00424835"/>
    <w:rsid w:val="00425794"/>
    <w:rsid w:val="00434A7D"/>
    <w:rsid w:val="00441289"/>
    <w:rsid w:val="0044576E"/>
    <w:rsid w:val="00447A58"/>
    <w:rsid w:val="00453E39"/>
    <w:rsid w:val="0045477A"/>
    <w:rsid w:val="00456F9D"/>
    <w:rsid w:val="00461001"/>
    <w:rsid w:val="00461FF9"/>
    <w:rsid w:val="00463A2F"/>
    <w:rsid w:val="0047001F"/>
    <w:rsid w:val="00471FEA"/>
    <w:rsid w:val="004862BC"/>
    <w:rsid w:val="00486FAC"/>
    <w:rsid w:val="0048769D"/>
    <w:rsid w:val="0049003D"/>
    <w:rsid w:val="00490525"/>
    <w:rsid w:val="004908DD"/>
    <w:rsid w:val="00492E06"/>
    <w:rsid w:val="00497C61"/>
    <w:rsid w:val="004A010A"/>
    <w:rsid w:val="004A260D"/>
    <w:rsid w:val="004A4A1A"/>
    <w:rsid w:val="004A4BDB"/>
    <w:rsid w:val="004A6ED5"/>
    <w:rsid w:val="004B38B3"/>
    <w:rsid w:val="004B5C8D"/>
    <w:rsid w:val="004C4F42"/>
    <w:rsid w:val="004C62B6"/>
    <w:rsid w:val="004D2663"/>
    <w:rsid w:val="004D4798"/>
    <w:rsid w:val="004D6282"/>
    <w:rsid w:val="004E2E66"/>
    <w:rsid w:val="004E531B"/>
    <w:rsid w:val="004E6290"/>
    <w:rsid w:val="004F4A58"/>
    <w:rsid w:val="00500875"/>
    <w:rsid w:val="00500994"/>
    <w:rsid w:val="005040F6"/>
    <w:rsid w:val="00504A6F"/>
    <w:rsid w:val="0051082E"/>
    <w:rsid w:val="00514F35"/>
    <w:rsid w:val="0052053F"/>
    <w:rsid w:val="00522C1E"/>
    <w:rsid w:val="00530276"/>
    <w:rsid w:val="0053501C"/>
    <w:rsid w:val="00535434"/>
    <w:rsid w:val="00536324"/>
    <w:rsid w:val="00537009"/>
    <w:rsid w:val="00540331"/>
    <w:rsid w:val="005408D7"/>
    <w:rsid w:val="00544517"/>
    <w:rsid w:val="00552B27"/>
    <w:rsid w:val="00556629"/>
    <w:rsid w:val="00557CFA"/>
    <w:rsid w:val="0056041D"/>
    <w:rsid w:val="00562E42"/>
    <w:rsid w:val="00563CA0"/>
    <w:rsid w:val="005661B6"/>
    <w:rsid w:val="00567B3D"/>
    <w:rsid w:val="00570394"/>
    <w:rsid w:val="0057149A"/>
    <w:rsid w:val="00572E05"/>
    <w:rsid w:val="00573E7F"/>
    <w:rsid w:val="00576336"/>
    <w:rsid w:val="00577992"/>
    <w:rsid w:val="00590A58"/>
    <w:rsid w:val="005A1C65"/>
    <w:rsid w:val="005A23FA"/>
    <w:rsid w:val="005A2667"/>
    <w:rsid w:val="005A3D91"/>
    <w:rsid w:val="005B3EFB"/>
    <w:rsid w:val="005B510A"/>
    <w:rsid w:val="005B5810"/>
    <w:rsid w:val="005B698D"/>
    <w:rsid w:val="005C33E5"/>
    <w:rsid w:val="005D0F54"/>
    <w:rsid w:val="005D3A56"/>
    <w:rsid w:val="005D4505"/>
    <w:rsid w:val="005D4D9F"/>
    <w:rsid w:val="005D6C7D"/>
    <w:rsid w:val="005D6D08"/>
    <w:rsid w:val="005D6D19"/>
    <w:rsid w:val="005E7B2C"/>
    <w:rsid w:val="005E7F8B"/>
    <w:rsid w:val="005F02FC"/>
    <w:rsid w:val="005F157E"/>
    <w:rsid w:val="005F3CC8"/>
    <w:rsid w:val="005F4079"/>
    <w:rsid w:val="005F4101"/>
    <w:rsid w:val="005F6D8A"/>
    <w:rsid w:val="005F78A2"/>
    <w:rsid w:val="006009EC"/>
    <w:rsid w:val="00605CE6"/>
    <w:rsid w:val="0060708A"/>
    <w:rsid w:val="00607310"/>
    <w:rsid w:val="00611D2D"/>
    <w:rsid w:val="00611FE6"/>
    <w:rsid w:val="00614AF3"/>
    <w:rsid w:val="006174ED"/>
    <w:rsid w:val="00621D58"/>
    <w:rsid w:val="0062735F"/>
    <w:rsid w:val="00634DE3"/>
    <w:rsid w:val="0064291C"/>
    <w:rsid w:val="006459DF"/>
    <w:rsid w:val="006540E7"/>
    <w:rsid w:val="00655218"/>
    <w:rsid w:val="0065611B"/>
    <w:rsid w:val="0066115D"/>
    <w:rsid w:val="0066631D"/>
    <w:rsid w:val="00667D26"/>
    <w:rsid w:val="00670442"/>
    <w:rsid w:val="006825F6"/>
    <w:rsid w:val="006836F5"/>
    <w:rsid w:val="00684BB3"/>
    <w:rsid w:val="00691FC4"/>
    <w:rsid w:val="006942E8"/>
    <w:rsid w:val="006A0FE0"/>
    <w:rsid w:val="006A1F55"/>
    <w:rsid w:val="006A3CA8"/>
    <w:rsid w:val="006A3E01"/>
    <w:rsid w:val="006A5C8B"/>
    <w:rsid w:val="006B5255"/>
    <w:rsid w:val="006C1C1F"/>
    <w:rsid w:val="006C4A34"/>
    <w:rsid w:val="006C5B57"/>
    <w:rsid w:val="006C6F36"/>
    <w:rsid w:val="006D2FF6"/>
    <w:rsid w:val="006E29D8"/>
    <w:rsid w:val="006E60F5"/>
    <w:rsid w:val="006E772D"/>
    <w:rsid w:val="006F31E2"/>
    <w:rsid w:val="006F3DB3"/>
    <w:rsid w:val="006F45C7"/>
    <w:rsid w:val="006F79A1"/>
    <w:rsid w:val="006F7AAD"/>
    <w:rsid w:val="00700313"/>
    <w:rsid w:val="00700EC1"/>
    <w:rsid w:val="007056FF"/>
    <w:rsid w:val="00710138"/>
    <w:rsid w:val="00711019"/>
    <w:rsid w:val="00712B95"/>
    <w:rsid w:val="00714528"/>
    <w:rsid w:val="0071464E"/>
    <w:rsid w:val="00721938"/>
    <w:rsid w:val="007233DE"/>
    <w:rsid w:val="00724AA6"/>
    <w:rsid w:val="007277FD"/>
    <w:rsid w:val="0073242B"/>
    <w:rsid w:val="007353EE"/>
    <w:rsid w:val="007365D2"/>
    <w:rsid w:val="007413EF"/>
    <w:rsid w:val="00754772"/>
    <w:rsid w:val="00754F11"/>
    <w:rsid w:val="007623B9"/>
    <w:rsid w:val="00765E5A"/>
    <w:rsid w:val="00766D2F"/>
    <w:rsid w:val="00770C36"/>
    <w:rsid w:val="0077339D"/>
    <w:rsid w:val="00777813"/>
    <w:rsid w:val="0078514B"/>
    <w:rsid w:val="0078570C"/>
    <w:rsid w:val="0078773E"/>
    <w:rsid w:val="00790BCB"/>
    <w:rsid w:val="0079471B"/>
    <w:rsid w:val="007947FF"/>
    <w:rsid w:val="007A5875"/>
    <w:rsid w:val="007B3E61"/>
    <w:rsid w:val="007B5778"/>
    <w:rsid w:val="007B7CD2"/>
    <w:rsid w:val="007C5F23"/>
    <w:rsid w:val="007C7EED"/>
    <w:rsid w:val="007D4916"/>
    <w:rsid w:val="007D4AF3"/>
    <w:rsid w:val="007D77D9"/>
    <w:rsid w:val="007E0DBF"/>
    <w:rsid w:val="007E1686"/>
    <w:rsid w:val="007E6BDB"/>
    <w:rsid w:val="007F21CA"/>
    <w:rsid w:val="007F569C"/>
    <w:rsid w:val="007F5B01"/>
    <w:rsid w:val="007F76CD"/>
    <w:rsid w:val="008028D8"/>
    <w:rsid w:val="00803B29"/>
    <w:rsid w:val="00806C9D"/>
    <w:rsid w:val="008074E9"/>
    <w:rsid w:val="00810C51"/>
    <w:rsid w:val="0081610B"/>
    <w:rsid w:val="00817846"/>
    <w:rsid w:val="008201F7"/>
    <w:rsid w:val="00820530"/>
    <w:rsid w:val="00821213"/>
    <w:rsid w:val="00822627"/>
    <w:rsid w:val="008305E8"/>
    <w:rsid w:val="008327EB"/>
    <w:rsid w:val="0083540E"/>
    <w:rsid w:val="00837700"/>
    <w:rsid w:val="00840543"/>
    <w:rsid w:val="00841A76"/>
    <w:rsid w:val="00841DEA"/>
    <w:rsid w:val="0084242B"/>
    <w:rsid w:val="0084247C"/>
    <w:rsid w:val="00843914"/>
    <w:rsid w:val="00843D8D"/>
    <w:rsid w:val="00853AD9"/>
    <w:rsid w:val="0085461C"/>
    <w:rsid w:val="00864F7B"/>
    <w:rsid w:val="00865C54"/>
    <w:rsid w:val="008716A6"/>
    <w:rsid w:val="00877D2A"/>
    <w:rsid w:val="00881025"/>
    <w:rsid w:val="008952AD"/>
    <w:rsid w:val="008A1BB4"/>
    <w:rsid w:val="008A5048"/>
    <w:rsid w:val="008A6466"/>
    <w:rsid w:val="008A75EB"/>
    <w:rsid w:val="008A7DA4"/>
    <w:rsid w:val="008B1BC6"/>
    <w:rsid w:val="008B1F16"/>
    <w:rsid w:val="008C0C07"/>
    <w:rsid w:val="008C1BC2"/>
    <w:rsid w:val="008C2248"/>
    <w:rsid w:val="008C3B87"/>
    <w:rsid w:val="008C3EE8"/>
    <w:rsid w:val="008C6483"/>
    <w:rsid w:val="008C7908"/>
    <w:rsid w:val="008D0F24"/>
    <w:rsid w:val="008E2301"/>
    <w:rsid w:val="008E5CD4"/>
    <w:rsid w:val="008F1B0C"/>
    <w:rsid w:val="008F1C72"/>
    <w:rsid w:val="009106DB"/>
    <w:rsid w:val="00916B69"/>
    <w:rsid w:val="00917100"/>
    <w:rsid w:val="00920E24"/>
    <w:rsid w:val="0092751D"/>
    <w:rsid w:val="00933759"/>
    <w:rsid w:val="009455C3"/>
    <w:rsid w:val="0094765C"/>
    <w:rsid w:val="009508E0"/>
    <w:rsid w:val="0095161D"/>
    <w:rsid w:val="009517CE"/>
    <w:rsid w:val="00951CDA"/>
    <w:rsid w:val="0095394B"/>
    <w:rsid w:val="0095482B"/>
    <w:rsid w:val="00954E45"/>
    <w:rsid w:val="009573CE"/>
    <w:rsid w:val="009614B0"/>
    <w:rsid w:val="00961AAE"/>
    <w:rsid w:val="009650D0"/>
    <w:rsid w:val="0096550B"/>
    <w:rsid w:val="00967FF1"/>
    <w:rsid w:val="00970AB8"/>
    <w:rsid w:val="00974E58"/>
    <w:rsid w:val="00975DCD"/>
    <w:rsid w:val="00984ED3"/>
    <w:rsid w:val="00985E0B"/>
    <w:rsid w:val="00986E4E"/>
    <w:rsid w:val="00994F72"/>
    <w:rsid w:val="00994FA2"/>
    <w:rsid w:val="009A37E8"/>
    <w:rsid w:val="009A6B1F"/>
    <w:rsid w:val="009A70BF"/>
    <w:rsid w:val="009B7661"/>
    <w:rsid w:val="009C4257"/>
    <w:rsid w:val="009C5DE1"/>
    <w:rsid w:val="009C7E66"/>
    <w:rsid w:val="009D0202"/>
    <w:rsid w:val="009D16CD"/>
    <w:rsid w:val="009D628A"/>
    <w:rsid w:val="009D6F82"/>
    <w:rsid w:val="009F3926"/>
    <w:rsid w:val="00A050B0"/>
    <w:rsid w:val="00A0679E"/>
    <w:rsid w:val="00A164C4"/>
    <w:rsid w:val="00A231E1"/>
    <w:rsid w:val="00A258EB"/>
    <w:rsid w:val="00A27C63"/>
    <w:rsid w:val="00A3550A"/>
    <w:rsid w:val="00A41E40"/>
    <w:rsid w:val="00A41EA9"/>
    <w:rsid w:val="00A43037"/>
    <w:rsid w:val="00A460A5"/>
    <w:rsid w:val="00A47989"/>
    <w:rsid w:val="00A6619D"/>
    <w:rsid w:val="00A80F3F"/>
    <w:rsid w:val="00A810AE"/>
    <w:rsid w:val="00A811BD"/>
    <w:rsid w:val="00A82C46"/>
    <w:rsid w:val="00A830FF"/>
    <w:rsid w:val="00A86E67"/>
    <w:rsid w:val="00A876AB"/>
    <w:rsid w:val="00A952AB"/>
    <w:rsid w:val="00AA1547"/>
    <w:rsid w:val="00AA68EA"/>
    <w:rsid w:val="00AA6A10"/>
    <w:rsid w:val="00AB28E7"/>
    <w:rsid w:val="00AB569C"/>
    <w:rsid w:val="00AB570C"/>
    <w:rsid w:val="00AB5FAD"/>
    <w:rsid w:val="00AC192B"/>
    <w:rsid w:val="00AD521D"/>
    <w:rsid w:val="00AD5246"/>
    <w:rsid w:val="00AE1982"/>
    <w:rsid w:val="00AE2901"/>
    <w:rsid w:val="00AE697B"/>
    <w:rsid w:val="00AE7BC0"/>
    <w:rsid w:val="00AF513D"/>
    <w:rsid w:val="00AF693F"/>
    <w:rsid w:val="00AF7624"/>
    <w:rsid w:val="00B037AC"/>
    <w:rsid w:val="00B05922"/>
    <w:rsid w:val="00B107EF"/>
    <w:rsid w:val="00B11A48"/>
    <w:rsid w:val="00B21CB4"/>
    <w:rsid w:val="00B222AF"/>
    <w:rsid w:val="00B22585"/>
    <w:rsid w:val="00B250C9"/>
    <w:rsid w:val="00B2791B"/>
    <w:rsid w:val="00B32EDE"/>
    <w:rsid w:val="00B32FB3"/>
    <w:rsid w:val="00B40E18"/>
    <w:rsid w:val="00B44737"/>
    <w:rsid w:val="00B4528A"/>
    <w:rsid w:val="00B45A9F"/>
    <w:rsid w:val="00B472F7"/>
    <w:rsid w:val="00B503E2"/>
    <w:rsid w:val="00B51C29"/>
    <w:rsid w:val="00B520CF"/>
    <w:rsid w:val="00B5223A"/>
    <w:rsid w:val="00B52D8E"/>
    <w:rsid w:val="00B53944"/>
    <w:rsid w:val="00B54EA6"/>
    <w:rsid w:val="00B556EA"/>
    <w:rsid w:val="00B61DD3"/>
    <w:rsid w:val="00B66C18"/>
    <w:rsid w:val="00B805C8"/>
    <w:rsid w:val="00B81A69"/>
    <w:rsid w:val="00B85807"/>
    <w:rsid w:val="00B86A94"/>
    <w:rsid w:val="00B87EE0"/>
    <w:rsid w:val="00B92A88"/>
    <w:rsid w:val="00B932FE"/>
    <w:rsid w:val="00BA4BEF"/>
    <w:rsid w:val="00BB00D8"/>
    <w:rsid w:val="00BB731A"/>
    <w:rsid w:val="00BD2D8A"/>
    <w:rsid w:val="00BD3D2B"/>
    <w:rsid w:val="00BD3DA4"/>
    <w:rsid w:val="00BD4021"/>
    <w:rsid w:val="00BD6246"/>
    <w:rsid w:val="00BD7978"/>
    <w:rsid w:val="00BE4D1F"/>
    <w:rsid w:val="00BE634F"/>
    <w:rsid w:val="00BF1841"/>
    <w:rsid w:val="00BF243A"/>
    <w:rsid w:val="00BF4C6C"/>
    <w:rsid w:val="00C01C7D"/>
    <w:rsid w:val="00C02DFD"/>
    <w:rsid w:val="00C075F7"/>
    <w:rsid w:val="00C13621"/>
    <w:rsid w:val="00C14B53"/>
    <w:rsid w:val="00C178F8"/>
    <w:rsid w:val="00C20C66"/>
    <w:rsid w:val="00C21018"/>
    <w:rsid w:val="00C22196"/>
    <w:rsid w:val="00C2680F"/>
    <w:rsid w:val="00C36474"/>
    <w:rsid w:val="00C37D90"/>
    <w:rsid w:val="00C41E44"/>
    <w:rsid w:val="00C43F97"/>
    <w:rsid w:val="00C4533B"/>
    <w:rsid w:val="00C4562B"/>
    <w:rsid w:val="00C4635F"/>
    <w:rsid w:val="00C50B27"/>
    <w:rsid w:val="00C518D7"/>
    <w:rsid w:val="00C54B92"/>
    <w:rsid w:val="00C60610"/>
    <w:rsid w:val="00C656E9"/>
    <w:rsid w:val="00C6697D"/>
    <w:rsid w:val="00C8283A"/>
    <w:rsid w:val="00C90CD2"/>
    <w:rsid w:val="00C92901"/>
    <w:rsid w:val="00C95474"/>
    <w:rsid w:val="00CA3935"/>
    <w:rsid w:val="00CB0872"/>
    <w:rsid w:val="00CB7C77"/>
    <w:rsid w:val="00CC5206"/>
    <w:rsid w:val="00CC637B"/>
    <w:rsid w:val="00CC6A88"/>
    <w:rsid w:val="00CC6DE2"/>
    <w:rsid w:val="00CD57C2"/>
    <w:rsid w:val="00CE059C"/>
    <w:rsid w:val="00CE3987"/>
    <w:rsid w:val="00CE433C"/>
    <w:rsid w:val="00CE6C2D"/>
    <w:rsid w:val="00CE6CD7"/>
    <w:rsid w:val="00CF16A0"/>
    <w:rsid w:val="00CF1972"/>
    <w:rsid w:val="00CF3AB1"/>
    <w:rsid w:val="00D02FF3"/>
    <w:rsid w:val="00D12EF0"/>
    <w:rsid w:val="00D13916"/>
    <w:rsid w:val="00D15236"/>
    <w:rsid w:val="00D20EE4"/>
    <w:rsid w:val="00D24395"/>
    <w:rsid w:val="00D335E9"/>
    <w:rsid w:val="00D350AB"/>
    <w:rsid w:val="00D352A1"/>
    <w:rsid w:val="00D3606F"/>
    <w:rsid w:val="00D364F6"/>
    <w:rsid w:val="00D368FC"/>
    <w:rsid w:val="00D369AE"/>
    <w:rsid w:val="00D36B68"/>
    <w:rsid w:val="00D40255"/>
    <w:rsid w:val="00D40285"/>
    <w:rsid w:val="00D51730"/>
    <w:rsid w:val="00D52C9A"/>
    <w:rsid w:val="00D5590E"/>
    <w:rsid w:val="00D57AEF"/>
    <w:rsid w:val="00D6012F"/>
    <w:rsid w:val="00D6025C"/>
    <w:rsid w:val="00D609EB"/>
    <w:rsid w:val="00D61514"/>
    <w:rsid w:val="00D67CA8"/>
    <w:rsid w:val="00D67CDB"/>
    <w:rsid w:val="00D70752"/>
    <w:rsid w:val="00D71C47"/>
    <w:rsid w:val="00D7302D"/>
    <w:rsid w:val="00D814E9"/>
    <w:rsid w:val="00D81842"/>
    <w:rsid w:val="00D86DF4"/>
    <w:rsid w:val="00D86F6C"/>
    <w:rsid w:val="00D938AB"/>
    <w:rsid w:val="00D9517C"/>
    <w:rsid w:val="00DA0A19"/>
    <w:rsid w:val="00DA13A5"/>
    <w:rsid w:val="00DA1518"/>
    <w:rsid w:val="00DA308E"/>
    <w:rsid w:val="00DA5A85"/>
    <w:rsid w:val="00DB3FF4"/>
    <w:rsid w:val="00DB59D8"/>
    <w:rsid w:val="00DC0AF0"/>
    <w:rsid w:val="00DC5384"/>
    <w:rsid w:val="00DC6252"/>
    <w:rsid w:val="00DC7B92"/>
    <w:rsid w:val="00DD35DA"/>
    <w:rsid w:val="00DD5C54"/>
    <w:rsid w:val="00DD5F97"/>
    <w:rsid w:val="00DD6EA9"/>
    <w:rsid w:val="00DD72CE"/>
    <w:rsid w:val="00DD72DE"/>
    <w:rsid w:val="00DD7B7D"/>
    <w:rsid w:val="00DE550E"/>
    <w:rsid w:val="00DF317E"/>
    <w:rsid w:val="00DF3E3F"/>
    <w:rsid w:val="00DF7AA7"/>
    <w:rsid w:val="00E0476B"/>
    <w:rsid w:val="00E110D7"/>
    <w:rsid w:val="00E12F67"/>
    <w:rsid w:val="00E158CB"/>
    <w:rsid w:val="00E21195"/>
    <w:rsid w:val="00E254BE"/>
    <w:rsid w:val="00E25BC7"/>
    <w:rsid w:val="00E26217"/>
    <w:rsid w:val="00E409B3"/>
    <w:rsid w:val="00E40E06"/>
    <w:rsid w:val="00E44A61"/>
    <w:rsid w:val="00E44D45"/>
    <w:rsid w:val="00E47438"/>
    <w:rsid w:val="00E50310"/>
    <w:rsid w:val="00E5248C"/>
    <w:rsid w:val="00E56B95"/>
    <w:rsid w:val="00E570E1"/>
    <w:rsid w:val="00E63E59"/>
    <w:rsid w:val="00E651DD"/>
    <w:rsid w:val="00E70505"/>
    <w:rsid w:val="00E76654"/>
    <w:rsid w:val="00E815BD"/>
    <w:rsid w:val="00E83162"/>
    <w:rsid w:val="00E9536A"/>
    <w:rsid w:val="00E96EF7"/>
    <w:rsid w:val="00EA4BF8"/>
    <w:rsid w:val="00EA61F7"/>
    <w:rsid w:val="00EA62B6"/>
    <w:rsid w:val="00EB0098"/>
    <w:rsid w:val="00EB0247"/>
    <w:rsid w:val="00EB15C7"/>
    <w:rsid w:val="00EB2B86"/>
    <w:rsid w:val="00EB47D2"/>
    <w:rsid w:val="00EB5643"/>
    <w:rsid w:val="00EB5F63"/>
    <w:rsid w:val="00EB7717"/>
    <w:rsid w:val="00EC0117"/>
    <w:rsid w:val="00EC57A4"/>
    <w:rsid w:val="00ED0C7B"/>
    <w:rsid w:val="00ED1DD1"/>
    <w:rsid w:val="00EE350F"/>
    <w:rsid w:val="00EE3826"/>
    <w:rsid w:val="00EE3E35"/>
    <w:rsid w:val="00EE60E7"/>
    <w:rsid w:val="00EE61D6"/>
    <w:rsid w:val="00EE7711"/>
    <w:rsid w:val="00EF0565"/>
    <w:rsid w:val="00EF3904"/>
    <w:rsid w:val="00EF3F91"/>
    <w:rsid w:val="00EF52C8"/>
    <w:rsid w:val="00F003B2"/>
    <w:rsid w:val="00F15D15"/>
    <w:rsid w:val="00F17677"/>
    <w:rsid w:val="00F23C7E"/>
    <w:rsid w:val="00F24BAB"/>
    <w:rsid w:val="00F33230"/>
    <w:rsid w:val="00F35D57"/>
    <w:rsid w:val="00F41152"/>
    <w:rsid w:val="00F47FF2"/>
    <w:rsid w:val="00F52137"/>
    <w:rsid w:val="00F56DA9"/>
    <w:rsid w:val="00F604D0"/>
    <w:rsid w:val="00F61F1C"/>
    <w:rsid w:val="00F65968"/>
    <w:rsid w:val="00F7181C"/>
    <w:rsid w:val="00F72B88"/>
    <w:rsid w:val="00F73374"/>
    <w:rsid w:val="00F86A00"/>
    <w:rsid w:val="00F917BF"/>
    <w:rsid w:val="00F941E1"/>
    <w:rsid w:val="00F94A10"/>
    <w:rsid w:val="00FA311B"/>
    <w:rsid w:val="00FA5906"/>
    <w:rsid w:val="00FA5CC4"/>
    <w:rsid w:val="00FA69A5"/>
    <w:rsid w:val="00FB1A1D"/>
    <w:rsid w:val="00FB3909"/>
    <w:rsid w:val="00FB423E"/>
    <w:rsid w:val="00FB4A43"/>
    <w:rsid w:val="00FB6E0A"/>
    <w:rsid w:val="00FC1D63"/>
    <w:rsid w:val="00FC37C4"/>
    <w:rsid w:val="00FC45A1"/>
    <w:rsid w:val="00FD1CE6"/>
    <w:rsid w:val="00FD4A00"/>
    <w:rsid w:val="00FD5D9C"/>
    <w:rsid w:val="00FE0A04"/>
    <w:rsid w:val="00FE1D08"/>
    <w:rsid w:val="00FE76B3"/>
    <w:rsid w:val="00FF23D2"/>
    <w:rsid w:val="00FF3E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FDFDF7"/>
  <w15:docId w15:val="{D39A3C0E-89B0-4A8C-833B-1D116CCB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3B2"/>
    <w:pPr>
      <w:spacing w:line="240" w:lineRule="atLeast"/>
      <w:jc w:val="both"/>
    </w:pPr>
    <w:rPr>
      <w:rFonts w:ascii="Corbel" w:eastAsia="SimSun" w:hAnsi="Corbel"/>
      <w:sz w:val="21"/>
      <w:szCs w:val="21"/>
      <w:lang w:val="en-GB" w:eastAsia="zh-CN"/>
    </w:rPr>
  </w:style>
  <w:style w:type="paragraph" w:styleId="Heading1">
    <w:name w:val="heading 1"/>
    <w:basedOn w:val="Normal"/>
    <w:next w:val="Normal"/>
    <w:link w:val="Heading1Char"/>
    <w:uiPriority w:val="99"/>
    <w:qFormat/>
    <w:rsid w:val="00F003B2"/>
    <w:pPr>
      <w:keepNext/>
      <w:spacing w:before="240" w:after="60"/>
      <w:outlineLvl w:val="0"/>
    </w:pPr>
    <w:rPr>
      <w:rFonts w:ascii="Cambria" w:eastAsia="Calibri" w:hAnsi="Cambria"/>
      <w:b/>
      <w:bCs/>
      <w:kern w:val="32"/>
      <w:sz w:val="32"/>
      <w:szCs w:val="32"/>
      <w:lang w:eastAsia="en-US"/>
    </w:rPr>
  </w:style>
  <w:style w:type="paragraph" w:styleId="Heading2">
    <w:name w:val="heading 2"/>
    <w:basedOn w:val="Normal"/>
    <w:next w:val="Normal"/>
    <w:link w:val="Heading2Char"/>
    <w:uiPriority w:val="99"/>
    <w:qFormat/>
    <w:rsid w:val="00F003B2"/>
    <w:pPr>
      <w:keepNext/>
      <w:spacing w:before="240" w:after="60"/>
      <w:outlineLvl w:val="1"/>
    </w:pPr>
    <w:rPr>
      <w:rFonts w:ascii="Cambria" w:eastAsia="Calibri" w:hAnsi="Cambria"/>
      <w:b/>
      <w:bCs/>
      <w:i/>
      <w:iCs/>
      <w:sz w:val="28"/>
      <w:szCs w:val="28"/>
      <w:lang w:eastAsia="en-US"/>
    </w:rPr>
  </w:style>
  <w:style w:type="paragraph" w:styleId="Heading3">
    <w:name w:val="heading 3"/>
    <w:basedOn w:val="Normal"/>
    <w:next w:val="Normal"/>
    <w:link w:val="Heading3Char"/>
    <w:uiPriority w:val="9"/>
    <w:qFormat/>
    <w:rsid w:val="00F003B2"/>
    <w:pPr>
      <w:keepNext/>
      <w:spacing w:before="240" w:after="60"/>
      <w:outlineLvl w:val="2"/>
    </w:pPr>
    <w:rPr>
      <w:rFonts w:asciiTheme="majorHAnsi" w:eastAsiaTheme="majorEastAsia" w:hAnsiTheme="majorHAnsi" w:cstheme="majorBidi"/>
      <w:b/>
      <w:bCs/>
      <w:sz w:val="26"/>
      <w:szCs w:val="26"/>
      <w:lang w:eastAsia="en-US"/>
    </w:rPr>
  </w:style>
  <w:style w:type="paragraph" w:styleId="Heading4">
    <w:name w:val="heading 4"/>
    <w:basedOn w:val="Normal"/>
    <w:next w:val="Normal"/>
    <w:link w:val="Heading4Char"/>
    <w:uiPriority w:val="9"/>
    <w:qFormat/>
    <w:rsid w:val="00F003B2"/>
    <w:pPr>
      <w:keepNext/>
      <w:spacing w:before="240" w:after="60"/>
      <w:outlineLvl w:val="3"/>
    </w:pPr>
    <w:rPr>
      <w:rFonts w:asciiTheme="minorHAnsi" w:eastAsiaTheme="minorEastAsia" w:hAnsiTheme="minorHAnsi" w:cstheme="minorBidi"/>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003B2"/>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rsid w:val="00F003B2"/>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
    <w:rsid w:val="00F003B2"/>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rsid w:val="00F003B2"/>
    <w:rPr>
      <w:rFonts w:asciiTheme="minorHAnsi" w:eastAsiaTheme="minorEastAsia" w:hAnsiTheme="minorHAnsi" w:cstheme="minorBidi"/>
      <w:b/>
      <w:bCs/>
      <w:sz w:val="28"/>
      <w:szCs w:val="28"/>
      <w:lang w:val="en-GB"/>
    </w:rPr>
  </w:style>
  <w:style w:type="paragraph" w:styleId="Subtitle">
    <w:name w:val="Subtitle"/>
    <w:basedOn w:val="Normal"/>
    <w:next w:val="Heading2"/>
    <w:link w:val="SubtitleChar"/>
    <w:uiPriority w:val="99"/>
    <w:qFormat/>
    <w:locked/>
    <w:rsid w:val="00F003B2"/>
    <w:pPr>
      <w:keepNext/>
      <w:spacing w:after="600" w:line="360" w:lineRule="atLeast"/>
    </w:pPr>
    <w:rPr>
      <w:rFonts w:ascii="Arial" w:hAnsi="Arial"/>
      <w:i/>
      <w:sz w:val="30"/>
      <w:szCs w:val="20"/>
    </w:rPr>
  </w:style>
  <w:style w:type="character" w:customStyle="1" w:styleId="SubtitleChar">
    <w:name w:val="Subtitle Char"/>
    <w:basedOn w:val="DefaultParagraphFont"/>
    <w:link w:val="Subtitle"/>
    <w:uiPriority w:val="99"/>
    <w:rsid w:val="00F003B2"/>
    <w:rPr>
      <w:rFonts w:ascii="Arial" w:eastAsia="SimSun" w:hAnsi="Arial"/>
      <w:i/>
      <w:sz w:val="30"/>
      <w:szCs w:val="20"/>
      <w:lang w:val="en-GB" w:eastAsia="zh-CN"/>
    </w:rPr>
  </w:style>
  <w:style w:type="paragraph" w:styleId="TOCHeading">
    <w:name w:val="TOC Heading"/>
    <w:basedOn w:val="Heading1"/>
    <w:next w:val="Normal"/>
    <w:uiPriority w:val="39"/>
    <w:semiHidden/>
    <w:unhideWhenUsed/>
    <w:qFormat/>
    <w:rsid w:val="00F003B2"/>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zh-CN"/>
    </w:rPr>
  </w:style>
  <w:style w:type="paragraph" w:styleId="PlainText">
    <w:name w:val="Plain Text"/>
    <w:basedOn w:val="Normal"/>
    <w:link w:val="PlainTextChar"/>
    <w:uiPriority w:val="99"/>
    <w:unhideWhenUsed/>
    <w:rsid w:val="00320DB1"/>
    <w:pPr>
      <w:spacing w:line="240" w:lineRule="auto"/>
      <w:jc w:val="left"/>
    </w:pPr>
    <w:rPr>
      <w:rFonts w:ascii="Calibri" w:eastAsiaTheme="minorHAnsi" w:hAnsi="Calibri" w:cstheme="minorBidi"/>
      <w:sz w:val="22"/>
      <w:lang w:eastAsia="en-US"/>
    </w:rPr>
  </w:style>
  <w:style w:type="character" w:customStyle="1" w:styleId="PlainTextChar">
    <w:name w:val="Plain Text Char"/>
    <w:basedOn w:val="DefaultParagraphFont"/>
    <w:link w:val="PlainText"/>
    <w:uiPriority w:val="99"/>
    <w:rsid w:val="00320DB1"/>
    <w:rPr>
      <w:rFonts w:cstheme="minorBidi"/>
      <w:szCs w:val="21"/>
      <w:lang w:val="en-GB"/>
    </w:rPr>
  </w:style>
  <w:style w:type="paragraph" w:styleId="BalloonText">
    <w:name w:val="Balloon Text"/>
    <w:basedOn w:val="Normal"/>
    <w:link w:val="BalloonTextChar"/>
    <w:uiPriority w:val="99"/>
    <w:semiHidden/>
    <w:unhideWhenUsed/>
    <w:rsid w:val="007623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3B9"/>
    <w:rPr>
      <w:rFonts w:ascii="Tahoma" w:eastAsia="SimSun" w:hAnsi="Tahoma" w:cs="Tahoma"/>
      <w:sz w:val="16"/>
      <w:szCs w:val="16"/>
      <w:lang w:val="en-GB" w:eastAsia="zh-CN"/>
    </w:rPr>
  </w:style>
  <w:style w:type="paragraph" w:styleId="Header">
    <w:name w:val="header"/>
    <w:basedOn w:val="Normal"/>
    <w:link w:val="HeaderChar"/>
    <w:unhideWhenUsed/>
    <w:rsid w:val="00371A4C"/>
    <w:pPr>
      <w:tabs>
        <w:tab w:val="center" w:pos="4513"/>
        <w:tab w:val="right" w:pos="9026"/>
      </w:tabs>
      <w:spacing w:line="240" w:lineRule="auto"/>
    </w:pPr>
  </w:style>
  <w:style w:type="character" w:customStyle="1" w:styleId="HeaderChar">
    <w:name w:val="Header Char"/>
    <w:basedOn w:val="DefaultParagraphFont"/>
    <w:link w:val="Header"/>
    <w:uiPriority w:val="99"/>
    <w:rsid w:val="00371A4C"/>
    <w:rPr>
      <w:rFonts w:ascii="Corbel" w:eastAsia="SimSun" w:hAnsi="Corbel"/>
      <w:sz w:val="21"/>
      <w:szCs w:val="21"/>
      <w:lang w:val="en-GB" w:eastAsia="zh-CN"/>
    </w:rPr>
  </w:style>
  <w:style w:type="paragraph" w:styleId="Footer">
    <w:name w:val="footer"/>
    <w:basedOn w:val="Normal"/>
    <w:link w:val="FooterChar"/>
    <w:uiPriority w:val="99"/>
    <w:unhideWhenUsed/>
    <w:rsid w:val="00371A4C"/>
    <w:pPr>
      <w:tabs>
        <w:tab w:val="center" w:pos="4513"/>
        <w:tab w:val="right" w:pos="9026"/>
      </w:tabs>
      <w:spacing w:line="240" w:lineRule="auto"/>
    </w:pPr>
  </w:style>
  <w:style w:type="character" w:customStyle="1" w:styleId="FooterChar">
    <w:name w:val="Footer Char"/>
    <w:basedOn w:val="DefaultParagraphFont"/>
    <w:link w:val="Footer"/>
    <w:uiPriority w:val="99"/>
    <w:rsid w:val="00371A4C"/>
    <w:rPr>
      <w:rFonts w:ascii="Corbel" w:eastAsia="SimSun" w:hAnsi="Corbel"/>
      <w:sz w:val="21"/>
      <w:szCs w:val="21"/>
      <w:lang w:val="en-GB" w:eastAsia="zh-CN"/>
    </w:rPr>
  </w:style>
  <w:style w:type="character" w:styleId="CommentReference">
    <w:name w:val="annotation reference"/>
    <w:basedOn w:val="DefaultParagraphFont"/>
    <w:uiPriority w:val="99"/>
    <w:semiHidden/>
    <w:unhideWhenUsed/>
    <w:rsid w:val="00F941E1"/>
    <w:rPr>
      <w:sz w:val="16"/>
      <w:szCs w:val="16"/>
    </w:rPr>
  </w:style>
  <w:style w:type="paragraph" w:styleId="CommentText">
    <w:name w:val="annotation text"/>
    <w:basedOn w:val="Normal"/>
    <w:link w:val="CommentTextChar"/>
    <w:uiPriority w:val="99"/>
    <w:semiHidden/>
    <w:unhideWhenUsed/>
    <w:rsid w:val="00F941E1"/>
    <w:pPr>
      <w:spacing w:line="240" w:lineRule="auto"/>
    </w:pPr>
    <w:rPr>
      <w:sz w:val="20"/>
      <w:szCs w:val="20"/>
    </w:rPr>
  </w:style>
  <w:style w:type="character" w:customStyle="1" w:styleId="CommentTextChar">
    <w:name w:val="Comment Text Char"/>
    <w:basedOn w:val="DefaultParagraphFont"/>
    <w:link w:val="CommentText"/>
    <w:uiPriority w:val="99"/>
    <w:semiHidden/>
    <w:rsid w:val="00F941E1"/>
    <w:rPr>
      <w:rFonts w:ascii="Corbel" w:eastAsia="SimSun" w:hAnsi="Corbel"/>
      <w:sz w:val="20"/>
      <w:szCs w:val="20"/>
      <w:lang w:val="en-GB" w:eastAsia="zh-CN"/>
    </w:rPr>
  </w:style>
  <w:style w:type="paragraph" w:styleId="CommentSubject">
    <w:name w:val="annotation subject"/>
    <w:basedOn w:val="CommentText"/>
    <w:next w:val="CommentText"/>
    <w:link w:val="CommentSubjectChar"/>
    <w:uiPriority w:val="99"/>
    <w:semiHidden/>
    <w:unhideWhenUsed/>
    <w:rsid w:val="00F941E1"/>
    <w:rPr>
      <w:b/>
      <w:bCs/>
    </w:rPr>
  </w:style>
  <w:style w:type="character" w:customStyle="1" w:styleId="CommentSubjectChar">
    <w:name w:val="Comment Subject Char"/>
    <w:basedOn w:val="CommentTextChar"/>
    <w:link w:val="CommentSubject"/>
    <w:uiPriority w:val="99"/>
    <w:semiHidden/>
    <w:rsid w:val="00F941E1"/>
    <w:rPr>
      <w:rFonts w:ascii="Corbel" w:eastAsia="SimSun" w:hAnsi="Corbel"/>
      <w:b/>
      <w:bCs/>
      <w:sz w:val="20"/>
      <w:szCs w:val="20"/>
      <w:lang w:val="en-GB" w:eastAsia="zh-CN"/>
    </w:rPr>
  </w:style>
  <w:style w:type="paragraph" w:styleId="Revision">
    <w:name w:val="Revision"/>
    <w:hidden/>
    <w:uiPriority w:val="99"/>
    <w:semiHidden/>
    <w:rsid w:val="00F941E1"/>
    <w:rPr>
      <w:rFonts w:ascii="Corbel" w:eastAsia="SimSun" w:hAnsi="Corbel"/>
      <w:sz w:val="21"/>
      <w:szCs w:val="21"/>
      <w:lang w:val="en-GB" w:eastAsia="zh-CN"/>
    </w:rPr>
  </w:style>
  <w:style w:type="paragraph" w:styleId="FootnoteText">
    <w:name w:val="footnote text"/>
    <w:basedOn w:val="Normal"/>
    <w:link w:val="FootnoteTextChar"/>
    <w:uiPriority w:val="99"/>
    <w:semiHidden/>
    <w:unhideWhenUsed/>
    <w:rsid w:val="00E96EF7"/>
    <w:pPr>
      <w:spacing w:line="240" w:lineRule="auto"/>
    </w:pPr>
    <w:rPr>
      <w:sz w:val="20"/>
      <w:szCs w:val="20"/>
    </w:rPr>
  </w:style>
  <w:style w:type="character" w:customStyle="1" w:styleId="FootnoteTextChar">
    <w:name w:val="Footnote Text Char"/>
    <w:basedOn w:val="DefaultParagraphFont"/>
    <w:link w:val="FootnoteText"/>
    <w:uiPriority w:val="99"/>
    <w:semiHidden/>
    <w:rsid w:val="00E96EF7"/>
    <w:rPr>
      <w:rFonts w:ascii="Corbel" w:eastAsia="SimSun" w:hAnsi="Corbel"/>
      <w:sz w:val="20"/>
      <w:szCs w:val="20"/>
      <w:lang w:val="en-GB" w:eastAsia="zh-CN"/>
    </w:rPr>
  </w:style>
  <w:style w:type="character" w:styleId="FootnoteReference">
    <w:name w:val="footnote reference"/>
    <w:basedOn w:val="DefaultParagraphFont"/>
    <w:uiPriority w:val="99"/>
    <w:semiHidden/>
    <w:unhideWhenUsed/>
    <w:rsid w:val="00E96EF7"/>
    <w:rPr>
      <w:vertAlign w:val="superscript"/>
    </w:rPr>
  </w:style>
  <w:style w:type="paragraph" w:styleId="ListParagraph">
    <w:name w:val="List Paragraph"/>
    <w:basedOn w:val="Normal"/>
    <w:uiPriority w:val="34"/>
    <w:qFormat/>
    <w:rsid w:val="003C5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122107">
      <w:bodyDiv w:val="1"/>
      <w:marLeft w:val="0"/>
      <w:marRight w:val="0"/>
      <w:marTop w:val="0"/>
      <w:marBottom w:val="0"/>
      <w:divBdr>
        <w:top w:val="none" w:sz="0" w:space="0" w:color="auto"/>
        <w:left w:val="none" w:sz="0" w:space="0" w:color="auto"/>
        <w:bottom w:val="none" w:sz="0" w:space="0" w:color="auto"/>
        <w:right w:val="none" w:sz="0" w:space="0" w:color="auto"/>
      </w:divBdr>
    </w:div>
    <w:div w:id="909776045">
      <w:bodyDiv w:val="1"/>
      <w:marLeft w:val="0"/>
      <w:marRight w:val="0"/>
      <w:marTop w:val="0"/>
      <w:marBottom w:val="0"/>
      <w:divBdr>
        <w:top w:val="none" w:sz="0" w:space="0" w:color="auto"/>
        <w:left w:val="none" w:sz="0" w:space="0" w:color="auto"/>
        <w:bottom w:val="none" w:sz="0" w:space="0" w:color="auto"/>
        <w:right w:val="none" w:sz="0" w:space="0" w:color="auto"/>
      </w:divBdr>
    </w:div>
    <w:div w:id="1184324549">
      <w:bodyDiv w:val="1"/>
      <w:marLeft w:val="0"/>
      <w:marRight w:val="0"/>
      <w:marTop w:val="0"/>
      <w:marBottom w:val="0"/>
      <w:divBdr>
        <w:top w:val="none" w:sz="0" w:space="0" w:color="auto"/>
        <w:left w:val="none" w:sz="0" w:space="0" w:color="auto"/>
        <w:bottom w:val="none" w:sz="0" w:space="0" w:color="auto"/>
        <w:right w:val="none" w:sz="0" w:space="0" w:color="auto"/>
      </w:divBdr>
    </w:div>
    <w:div w:id="1829906310">
      <w:bodyDiv w:val="1"/>
      <w:marLeft w:val="0"/>
      <w:marRight w:val="0"/>
      <w:marTop w:val="0"/>
      <w:marBottom w:val="0"/>
      <w:divBdr>
        <w:top w:val="none" w:sz="0" w:space="0" w:color="auto"/>
        <w:left w:val="none" w:sz="0" w:space="0" w:color="auto"/>
        <w:bottom w:val="none" w:sz="0" w:space="0" w:color="auto"/>
        <w:right w:val="none" w:sz="0" w:space="0" w:color="auto"/>
      </w:divBdr>
      <w:divsChild>
        <w:div w:id="1785149998">
          <w:marLeft w:val="562"/>
          <w:marRight w:val="0"/>
          <w:marTop w:val="0"/>
          <w:marBottom w:val="0"/>
          <w:divBdr>
            <w:top w:val="none" w:sz="0" w:space="0" w:color="auto"/>
            <w:left w:val="none" w:sz="0" w:space="0" w:color="auto"/>
            <w:bottom w:val="none" w:sz="0" w:space="0" w:color="auto"/>
            <w:right w:val="none" w:sz="0" w:space="0" w:color="auto"/>
          </w:divBdr>
        </w:div>
        <w:div w:id="444424284">
          <w:marLeft w:val="562"/>
          <w:marRight w:val="0"/>
          <w:marTop w:val="0"/>
          <w:marBottom w:val="0"/>
          <w:divBdr>
            <w:top w:val="none" w:sz="0" w:space="0" w:color="auto"/>
            <w:left w:val="none" w:sz="0" w:space="0" w:color="auto"/>
            <w:bottom w:val="none" w:sz="0" w:space="0" w:color="auto"/>
            <w:right w:val="none" w:sz="0" w:space="0" w:color="auto"/>
          </w:divBdr>
        </w:div>
        <w:div w:id="1334799098">
          <w:marLeft w:val="562"/>
          <w:marRight w:val="0"/>
          <w:marTop w:val="0"/>
          <w:marBottom w:val="0"/>
          <w:divBdr>
            <w:top w:val="none" w:sz="0" w:space="0" w:color="auto"/>
            <w:left w:val="none" w:sz="0" w:space="0" w:color="auto"/>
            <w:bottom w:val="none" w:sz="0" w:space="0" w:color="auto"/>
            <w:right w:val="none" w:sz="0" w:space="0" w:color="auto"/>
          </w:divBdr>
        </w:div>
        <w:div w:id="1891187981">
          <w:marLeft w:val="547"/>
          <w:marRight w:val="0"/>
          <w:marTop w:val="0"/>
          <w:marBottom w:val="0"/>
          <w:divBdr>
            <w:top w:val="none" w:sz="0" w:space="0" w:color="auto"/>
            <w:left w:val="none" w:sz="0" w:space="0" w:color="auto"/>
            <w:bottom w:val="none" w:sz="0" w:space="0" w:color="auto"/>
            <w:right w:val="none" w:sz="0" w:space="0" w:color="auto"/>
          </w:divBdr>
        </w:div>
        <w:div w:id="996570618">
          <w:marLeft w:val="547"/>
          <w:marRight w:val="0"/>
          <w:marTop w:val="0"/>
          <w:marBottom w:val="0"/>
          <w:divBdr>
            <w:top w:val="none" w:sz="0" w:space="0" w:color="auto"/>
            <w:left w:val="none" w:sz="0" w:space="0" w:color="auto"/>
            <w:bottom w:val="none" w:sz="0" w:space="0" w:color="auto"/>
            <w:right w:val="none" w:sz="0" w:space="0" w:color="auto"/>
          </w:divBdr>
        </w:div>
        <w:div w:id="483357266">
          <w:marLeft w:val="562"/>
          <w:marRight w:val="0"/>
          <w:marTop w:val="0"/>
          <w:marBottom w:val="0"/>
          <w:divBdr>
            <w:top w:val="none" w:sz="0" w:space="0" w:color="auto"/>
            <w:left w:val="none" w:sz="0" w:space="0" w:color="auto"/>
            <w:bottom w:val="none" w:sz="0" w:space="0" w:color="auto"/>
            <w:right w:val="none" w:sz="0" w:space="0" w:color="auto"/>
          </w:divBdr>
        </w:div>
        <w:div w:id="1397777650">
          <w:marLeft w:val="562"/>
          <w:marRight w:val="0"/>
          <w:marTop w:val="0"/>
          <w:marBottom w:val="0"/>
          <w:divBdr>
            <w:top w:val="none" w:sz="0" w:space="0" w:color="auto"/>
            <w:left w:val="none" w:sz="0" w:space="0" w:color="auto"/>
            <w:bottom w:val="none" w:sz="0" w:space="0" w:color="auto"/>
            <w:right w:val="none" w:sz="0" w:space="0" w:color="auto"/>
          </w:divBdr>
        </w:div>
        <w:div w:id="123156721">
          <w:marLeft w:val="547"/>
          <w:marRight w:val="0"/>
          <w:marTop w:val="0"/>
          <w:marBottom w:val="0"/>
          <w:divBdr>
            <w:top w:val="none" w:sz="0" w:space="0" w:color="auto"/>
            <w:left w:val="none" w:sz="0" w:space="0" w:color="auto"/>
            <w:bottom w:val="none" w:sz="0" w:space="0" w:color="auto"/>
            <w:right w:val="none" w:sz="0" w:space="0" w:color="auto"/>
          </w:divBdr>
        </w:div>
        <w:div w:id="385226151">
          <w:marLeft w:val="547"/>
          <w:marRight w:val="0"/>
          <w:marTop w:val="0"/>
          <w:marBottom w:val="0"/>
          <w:divBdr>
            <w:top w:val="none" w:sz="0" w:space="0" w:color="auto"/>
            <w:left w:val="none" w:sz="0" w:space="0" w:color="auto"/>
            <w:bottom w:val="none" w:sz="0" w:space="0" w:color="auto"/>
            <w:right w:val="none" w:sz="0" w:space="0" w:color="auto"/>
          </w:divBdr>
        </w:div>
        <w:div w:id="801384053">
          <w:marLeft w:val="547"/>
          <w:marRight w:val="0"/>
          <w:marTop w:val="0"/>
          <w:marBottom w:val="0"/>
          <w:divBdr>
            <w:top w:val="none" w:sz="0" w:space="0" w:color="auto"/>
            <w:left w:val="none" w:sz="0" w:space="0" w:color="auto"/>
            <w:bottom w:val="none" w:sz="0" w:space="0" w:color="auto"/>
            <w:right w:val="none" w:sz="0" w:space="0" w:color="auto"/>
          </w:divBdr>
        </w:div>
      </w:divsChild>
    </w:div>
    <w:div w:id="2128307454">
      <w:bodyDiv w:val="1"/>
      <w:marLeft w:val="0"/>
      <w:marRight w:val="0"/>
      <w:marTop w:val="0"/>
      <w:marBottom w:val="0"/>
      <w:divBdr>
        <w:top w:val="none" w:sz="0" w:space="0" w:color="auto"/>
        <w:left w:val="none" w:sz="0" w:space="0" w:color="auto"/>
        <w:bottom w:val="none" w:sz="0" w:space="0" w:color="auto"/>
        <w:right w:val="none" w:sz="0" w:space="0" w:color="auto"/>
      </w:divBdr>
      <w:divsChild>
        <w:div w:id="1782722655">
          <w:marLeft w:val="547"/>
          <w:marRight w:val="0"/>
          <w:marTop w:val="0"/>
          <w:marBottom w:val="0"/>
          <w:divBdr>
            <w:top w:val="none" w:sz="0" w:space="0" w:color="auto"/>
            <w:left w:val="none" w:sz="0" w:space="0" w:color="auto"/>
            <w:bottom w:val="none" w:sz="0" w:space="0" w:color="auto"/>
            <w:right w:val="none" w:sz="0" w:space="0" w:color="auto"/>
          </w:divBdr>
        </w:div>
        <w:div w:id="1073314375">
          <w:marLeft w:val="547"/>
          <w:marRight w:val="0"/>
          <w:marTop w:val="0"/>
          <w:marBottom w:val="0"/>
          <w:divBdr>
            <w:top w:val="none" w:sz="0" w:space="0" w:color="auto"/>
            <w:left w:val="none" w:sz="0" w:space="0" w:color="auto"/>
            <w:bottom w:val="none" w:sz="0" w:space="0" w:color="auto"/>
            <w:right w:val="none" w:sz="0" w:space="0" w:color="auto"/>
          </w:divBdr>
        </w:div>
        <w:div w:id="364675059">
          <w:marLeft w:val="1166"/>
          <w:marRight w:val="0"/>
          <w:marTop w:val="0"/>
          <w:marBottom w:val="0"/>
          <w:divBdr>
            <w:top w:val="none" w:sz="0" w:space="0" w:color="auto"/>
            <w:left w:val="none" w:sz="0" w:space="0" w:color="auto"/>
            <w:bottom w:val="none" w:sz="0" w:space="0" w:color="auto"/>
            <w:right w:val="none" w:sz="0" w:space="0" w:color="auto"/>
          </w:divBdr>
        </w:div>
        <w:div w:id="824861521">
          <w:marLeft w:val="1166"/>
          <w:marRight w:val="0"/>
          <w:marTop w:val="0"/>
          <w:marBottom w:val="0"/>
          <w:divBdr>
            <w:top w:val="none" w:sz="0" w:space="0" w:color="auto"/>
            <w:left w:val="none" w:sz="0" w:space="0" w:color="auto"/>
            <w:bottom w:val="none" w:sz="0" w:space="0" w:color="auto"/>
            <w:right w:val="none" w:sz="0" w:space="0" w:color="auto"/>
          </w:divBdr>
        </w:div>
        <w:div w:id="1139810816">
          <w:marLeft w:val="1166"/>
          <w:marRight w:val="0"/>
          <w:marTop w:val="0"/>
          <w:marBottom w:val="0"/>
          <w:divBdr>
            <w:top w:val="none" w:sz="0" w:space="0" w:color="auto"/>
            <w:left w:val="none" w:sz="0" w:space="0" w:color="auto"/>
            <w:bottom w:val="none" w:sz="0" w:space="0" w:color="auto"/>
            <w:right w:val="none" w:sz="0" w:space="0" w:color="auto"/>
          </w:divBdr>
        </w:div>
        <w:div w:id="1995529516">
          <w:marLeft w:val="1166"/>
          <w:marRight w:val="0"/>
          <w:marTop w:val="0"/>
          <w:marBottom w:val="0"/>
          <w:divBdr>
            <w:top w:val="none" w:sz="0" w:space="0" w:color="auto"/>
            <w:left w:val="none" w:sz="0" w:space="0" w:color="auto"/>
            <w:bottom w:val="none" w:sz="0" w:space="0" w:color="auto"/>
            <w:right w:val="none" w:sz="0" w:space="0" w:color="auto"/>
          </w:divBdr>
        </w:div>
        <w:div w:id="21092268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1D0F2BC9E0A54AA6959EED9D4BD790" ma:contentTypeVersion="7" ma:contentTypeDescription="Create a new document." ma:contentTypeScope="" ma:versionID="b94606dd42032c2a7720ef3958f3911a">
  <xsd:schema xmlns:xsd="http://www.w3.org/2001/XMLSchema" xmlns:xs="http://www.w3.org/2001/XMLSchema" xmlns:p="http://schemas.microsoft.com/office/2006/metadata/properties" xmlns:ns3="c87981dc-cfd8-4b81-a6ae-fabbec99ea6f" xmlns:ns4="b893bec9-86f3-4a18-a3b8-37dede2cc96a" targetNamespace="http://schemas.microsoft.com/office/2006/metadata/properties" ma:root="true" ma:fieldsID="f0bf2af5f19042e7820148f8f56c0399" ns3:_="" ns4:_="">
    <xsd:import namespace="c87981dc-cfd8-4b81-a6ae-fabbec99ea6f"/>
    <xsd:import namespace="b893bec9-86f3-4a18-a3b8-37dede2cc9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981dc-cfd8-4b81-a6ae-fabbec99e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3bec9-86f3-4a18-a3b8-37dede2cc9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127B7-4876-448F-8591-CD734588B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981dc-cfd8-4b81-a6ae-fabbec99ea6f"/>
    <ds:schemaRef ds:uri="b893bec9-86f3-4a18-a3b8-37dede2c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EDCE6D-16FE-49D1-B47C-9E1341EDDA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5618D5-389C-406B-9A2C-721767514C0C}">
  <ds:schemaRefs>
    <ds:schemaRef ds:uri="http://schemas.microsoft.com/sharepoint/v3/contenttype/forms"/>
  </ds:schemaRefs>
</ds:datastoreItem>
</file>

<file path=customXml/itemProps4.xml><?xml version="1.0" encoding="utf-8"?>
<ds:datastoreItem xmlns:ds="http://schemas.openxmlformats.org/officeDocument/2006/customXml" ds:itemID="{0B979DAD-99D6-43A4-BE4D-73A616E6D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Competition Rx</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AlexLewis</dc:creator>
  <cp:lastModifiedBy>Victoria Hallam</cp:lastModifiedBy>
  <cp:revision>3</cp:revision>
  <dcterms:created xsi:type="dcterms:W3CDTF">2022-03-14T09:23:00Z</dcterms:created>
  <dcterms:modified xsi:type="dcterms:W3CDTF">2023-03-06T20:29:00Z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0x0101001C1D0F2BC9E0A54AA6959EED9D4BD790</vt:lpwstr>
  </property>
</Properties>
</file>